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Cs w:val="18"/>
          <w:u w:val="single"/>
        </w:rPr>
      </w:pPr>
      <w:r w:rsidRPr="00B521BE">
        <w:rPr>
          <w:rFonts w:cs="Arial"/>
          <w:b/>
          <w:noProof w:val="0"/>
          <w:szCs w:val="18"/>
          <w:u w:val="single"/>
        </w:rPr>
        <w:t>EXERCICE 32</w:t>
      </w: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Soit les renseignements suivants concernant l’entreprise X :</w:t>
      </w:r>
    </w:p>
    <w:p w:rsidR="00B521BE" w:rsidRPr="00B521BE" w:rsidRDefault="00B521BE" w:rsidP="00B521BE">
      <w:pPr>
        <w:numPr>
          <w:ilvl w:val="0"/>
          <w:numId w:val="2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 xml:space="preserve">Chiffre d’affaires </w:t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  <w:t>500 000 €</w:t>
      </w:r>
    </w:p>
    <w:p w:rsidR="00B521BE" w:rsidRPr="00B521BE" w:rsidRDefault="00B521BE" w:rsidP="00B521BE">
      <w:pPr>
        <w:numPr>
          <w:ilvl w:val="0"/>
          <w:numId w:val="2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Charges totales</w:t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  <w:t>420 000 €</w:t>
      </w:r>
    </w:p>
    <w:p w:rsidR="00B521BE" w:rsidRPr="00B521BE" w:rsidRDefault="00B521BE" w:rsidP="00B521BE">
      <w:pPr>
        <w:numPr>
          <w:ilvl w:val="0"/>
          <w:numId w:val="2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Charges variables</w:t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  <w:t>340 000 €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  <w:r w:rsidRPr="00B521BE">
        <w:rPr>
          <w:rFonts w:cs="Arial"/>
          <w:b/>
          <w:noProof w:val="0"/>
          <w:sz w:val="18"/>
          <w:szCs w:val="18"/>
          <w:u w:val="single"/>
        </w:rPr>
        <w:t>Travail à faire :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Calculer la marge sur coût variable en valeur et en pourcentage du chiffre d’affaires ainsi que le SR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noProof w:val="0"/>
          <w:sz w:val="18"/>
          <w:szCs w:val="18"/>
        </w:rPr>
      </w:pPr>
    </w:p>
    <w:p w:rsidR="00B521BE" w:rsidRPr="00B521BE" w:rsidRDefault="00B521BE" w:rsidP="00B521BE">
      <w:pPr>
        <w:spacing w:after="160" w:afterAutospacing="0"/>
        <w:ind w:left="720"/>
        <w:contextualSpacing/>
        <w:jc w:val="center"/>
        <w:rPr>
          <w:rFonts w:cs="Arial"/>
          <w:b/>
          <w:noProof w:val="0"/>
          <w:color w:val="2F5496" w:themeColor="accent5" w:themeShade="BF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Cs w:val="18"/>
        </w:rPr>
        <w:t>MCV = CA – CV = 500 000 – 340 000 = 160 000 €</w:t>
      </w:r>
    </w:p>
    <w:p w:rsidR="00B521BE" w:rsidRPr="00B521BE" w:rsidRDefault="00B521BE" w:rsidP="00B521BE">
      <w:pPr>
        <w:spacing w:after="160" w:afterAutospacing="0"/>
        <w:ind w:left="720"/>
        <w:contextualSpacing/>
        <w:jc w:val="center"/>
        <w:rPr>
          <w:rFonts w:cs="Arial"/>
          <w:b/>
          <w:noProof w:val="0"/>
          <w:color w:val="2F5496" w:themeColor="accent5" w:themeShade="BF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Cs w:val="18"/>
        </w:rPr>
        <w:t>Taux de MCV = MCV/CA * 100 = 160 000/500 000 = 32 %</w:t>
      </w:r>
    </w:p>
    <w:p w:rsidR="00B521BE" w:rsidRPr="00B521BE" w:rsidRDefault="00B521BE" w:rsidP="00B521BE">
      <w:pPr>
        <w:spacing w:after="160" w:afterAutospacing="0"/>
        <w:ind w:left="720"/>
        <w:contextualSpacing/>
        <w:jc w:val="center"/>
        <w:rPr>
          <w:rFonts w:cs="Arial"/>
          <w:b/>
          <w:noProof w:val="0"/>
          <w:color w:val="2F5496" w:themeColor="accent5" w:themeShade="BF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Cs w:val="18"/>
        </w:rPr>
        <w:t>SR = CF/taux de MCV = (420 000 – 340 000)/ 0,32 = 250 000 €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b/>
          <w:noProof w:val="0"/>
          <w:color w:val="2F5496" w:themeColor="accent5" w:themeShade="BF"/>
          <w:sz w:val="18"/>
          <w:szCs w:val="18"/>
        </w:rPr>
      </w:pP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Marge de sécurité = Chiffre d’affaires – Seuil de rentabilité = 500 000 – 250 000 = 250 000 €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Indice de sécurité ou marge de sécurité en % = 250 000 /500 000 = 50 %</w:t>
      </w:r>
    </w:p>
    <w:p w:rsidR="00B521BE" w:rsidRDefault="00B521BE" w:rsidP="00B521BE">
      <w:pPr>
        <w:spacing w:after="160" w:afterAutospacing="0"/>
        <w:rPr>
          <w:rFonts w:cs="Arial"/>
          <w:b/>
          <w:noProof w:val="0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Cs w:val="18"/>
          <w:u w:val="single"/>
        </w:rPr>
      </w:pPr>
      <w:r w:rsidRPr="00B521BE">
        <w:rPr>
          <w:rFonts w:cs="Arial"/>
          <w:b/>
          <w:noProof w:val="0"/>
          <w:szCs w:val="18"/>
          <w:u w:val="single"/>
        </w:rPr>
        <w:t>EXERCICE 33</w:t>
      </w: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 w:val="20"/>
          <w:szCs w:val="18"/>
        </w:rPr>
      </w:pPr>
      <w:r w:rsidRPr="00B521BE">
        <w:rPr>
          <w:rFonts w:cs="Arial"/>
          <w:noProof w:val="0"/>
          <w:sz w:val="20"/>
          <w:szCs w:val="18"/>
        </w:rPr>
        <w:t>Dans une entreprise, le taux de marge sur coût variable est égal à 25 % du chiffre d’affaires. Les charges fixes s’élèvent à 200 000 € jusqu’à 1 000 000 € de chiffre d’affaires, puis elles passent brutalement à 320 000 € au de-là de ce chiffre. Déterminer le seuil de rentabilité lorsque le chiffre d’affaires est inférieur à 1 000 000 € et le nouveau seuil lorsque le chiffre d’affaires est supérieur à 1 000 000 €.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Si le CA est inférieur à 1 000 000 € le SR</w:t>
      </w: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  <w:vertAlign w:val="subscript"/>
        </w:rPr>
        <w:t>1</w:t>
      </w: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 xml:space="preserve"> est égal à 200 000/0,25 = 800 000 €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Si le CA est supérieur à 1 000 000 € le SR</w:t>
      </w: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  <w:vertAlign w:val="subscript"/>
        </w:rPr>
        <w:t>2</w:t>
      </w: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 xml:space="preserve"> est égal à 320 000/0,25 = 1 280 000 €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Entre 0 et 800 000 € de chiffre d’affaires, l’entreprise perd de l’argent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Entre 800 000 € et 1 000 000 € de chiffre d’affaires, l’entreprise gagne de l’argent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 xml:space="preserve">De nouveau entre 1 000 000 et 1 280 000 € perd de l’argent 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Et au-dessus de 1 280 000 € de CA, l’entreprise réalise à nouveau du bénéfice.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Cs w:val="18"/>
          <w:u w:val="single"/>
        </w:rPr>
      </w:pPr>
      <w:r w:rsidRPr="00B521BE">
        <w:rPr>
          <w:rFonts w:cs="Arial"/>
          <w:b/>
          <w:noProof w:val="0"/>
          <w:szCs w:val="18"/>
          <w:u w:val="single"/>
        </w:rPr>
        <w:t>EXERCICE 34</w:t>
      </w: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Un entrepreneur prévoit de fabriquer 150 000 articles. Les charges de structure s’élèvent à 360 000 € et le coût variable unitaire prévu est de 3 €. Le prix de vente unitaire est de 6 €. Il ne variera probablement pas au cours du prochain exercice.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  <w:r w:rsidRPr="00B521BE">
        <w:rPr>
          <w:rFonts w:cs="Arial"/>
          <w:b/>
          <w:noProof w:val="0"/>
          <w:sz w:val="18"/>
          <w:szCs w:val="18"/>
          <w:u w:val="single"/>
        </w:rPr>
        <w:t>Travail à faire :</w:t>
      </w:r>
    </w:p>
    <w:p w:rsidR="00B521BE" w:rsidRPr="00B521BE" w:rsidRDefault="00B521BE" w:rsidP="00B521BE">
      <w:pPr>
        <w:numPr>
          <w:ilvl w:val="0"/>
          <w:numId w:val="3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Calculer la marge sur coût variable en valeur et en pourcentage du chiffre d’affaires.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MCV = chiffre d’affaires – Les charges variables = (150 000 * 6) – (150 000 * 3) = 900 000 – 450 000 = 450 000 €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Taux de MCV = MCV/CA * 100 = 450 000/900 000 *100 = 50 %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</w:p>
    <w:p w:rsidR="00B521BE" w:rsidRPr="00B521BE" w:rsidRDefault="00B521BE" w:rsidP="00B521BE">
      <w:pPr>
        <w:numPr>
          <w:ilvl w:val="0"/>
          <w:numId w:val="3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Calculer le seuil de rentabilité. Combien doit-il produire/vendre d’articles avant de réaliser un bénéfice ?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SR = CF /Taux de MCV = 360 000/ 0,5 = 720 000 €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SR en Quantité = 720 000/6 = 120 000 produits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Default="00B521BE" w:rsidP="00B521BE">
      <w:pPr>
        <w:spacing w:after="160" w:afterAutospacing="0"/>
        <w:rPr>
          <w:rFonts w:cs="Arial"/>
          <w:b/>
          <w:noProof w:val="0"/>
          <w:szCs w:val="18"/>
          <w:u w:val="single"/>
        </w:rPr>
      </w:pPr>
    </w:p>
    <w:p w:rsidR="00B521BE" w:rsidRDefault="00B521BE" w:rsidP="00B521BE">
      <w:pPr>
        <w:spacing w:after="160" w:afterAutospacing="0"/>
        <w:rPr>
          <w:rFonts w:cs="Arial"/>
          <w:b/>
          <w:noProof w:val="0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Cs w:val="18"/>
          <w:u w:val="single"/>
        </w:rPr>
      </w:pPr>
      <w:r w:rsidRPr="00B521BE">
        <w:rPr>
          <w:rFonts w:cs="Arial"/>
          <w:b/>
          <w:noProof w:val="0"/>
          <w:szCs w:val="18"/>
          <w:u w:val="single"/>
        </w:rPr>
        <w:t>EXERCICE 35</w:t>
      </w: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Dans une entreprise, le taux de marge sur coût variable est de 37,5 % du CA net ; les charges fixes s’élèvent à 446 000 €.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  <w:r w:rsidRPr="00B521BE">
        <w:rPr>
          <w:rFonts w:cs="Arial"/>
          <w:b/>
          <w:noProof w:val="0"/>
          <w:sz w:val="18"/>
          <w:szCs w:val="18"/>
          <w:u w:val="single"/>
        </w:rPr>
        <w:t>Travail à faire :</w:t>
      </w:r>
    </w:p>
    <w:p w:rsidR="00B521BE" w:rsidRPr="00B521BE" w:rsidRDefault="00B521BE" w:rsidP="00B521BE">
      <w:pPr>
        <w:numPr>
          <w:ilvl w:val="0"/>
          <w:numId w:val="4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Calculer le seuil de rentabilité.</w:t>
      </w:r>
    </w:p>
    <w:p w:rsidR="00B521BE" w:rsidRDefault="00B521BE" w:rsidP="00B521BE">
      <w:pPr>
        <w:numPr>
          <w:ilvl w:val="0"/>
          <w:numId w:val="4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On prévoit pour le prochain exercice une hausse des coûts variables de 10 % et une hausse des coûts fixes de 5 %. Le prix de vente ne changera pas. Calculez le taux de marge sur coût variable et le nouveau point mort.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noProof w:val="0"/>
          <w:sz w:val="18"/>
          <w:szCs w:val="18"/>
        </w:rPr>
      </w:pPr>
    </w:p>
    <w:p w:rsidR="00B521BE" w:rsidRPr="00B521BE" w:rsidRDefault="00B521BE" w:rsidP="00B521BE">
      <w:pPr>
        <w:pStyle w:val="Paragraphedeliste"/>
        <w:numPr>
          <w:ilvl w:val="0"/>
          <w:numId w:val="8"/>
        </w:numPr>
        <w:spacing w:after="0" w:afterAutospacing="0"/>
        <w:rPr>
          <w:rFonts w:cs="Arial"/>
          <w:b/>
          <w:noProof w:val="0"/>
          <w:color w:val="2F5496" w:themeColor="accent5" w:themeShade="BF"/>
          <w:sz w:val="24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24"/>
          <w:szCs w:val="18"/>
        </w:rPr>
        <w:t>Le taux de marge sur cout variable est de 37,5 % donc les charges variables sont de 62,5 % (100% - 37,5%) = 62,5 %</w:t>
      </w:r>
    </w:p>
    <w:p w:rsidR="00B521BE" w:rsidRPr="00B521BE" w:rsidRDefault="00B521BE" w:rsidP="00B521BE">
      <w:pPr>
        <w:pStyle w:val="Paragraphedeliste"/>
        <w:numPr>
          <w:ilvl w:val="0"/>
          <w:numId w:val="8"/>
        </w:numPr>
        <w:spacing w:after="0" w:afterAutospacing="0"/>
        <w:rPr>
          <w:rFonts w:cs="Arial"/>
          <w:b/>
          <w:noProof w:val="0"/>
          <w:color w:val="2F5496" w:themeColor="accent5" w:themeShade="BF"/>
          <w:sz w:val="24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24"/>
          <w:szCs w:val="18"/>
        </w:rPr>
        <w:t>Le prix de vente ne change pas</w:t>
      </w:r>
    </w:p>
    <w:p w:rsidR="00B521BE" w:rsidRPr="00B521BE" w:rsidRDefault="00B521BE" w:rsidP="00B521BE">
      <w:pPr>
        <w:pStyle w:val="Paragraphedeliste"/>
        <w:numPr>
          <w:ilvl w:val="0"/>
          <w:numId w:val="8"/>
        </w:numPr>
        <w:spacing w:after="0" w:afterAutospacing="0"/>
        <w:rPr>
          <w:rFonts w:cs="Arial"/>
          <w:b/>
          <w:noProof w:val="0"/>
          <w:color w:val="2F5496" w:themeColor="accent5" w:themeShade="BF"/>
          <w:sz w:val="24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24"/>
          <w:szCs w:val="18"/>
        </w:rPr>
        <w:t>Donc si les charges augmentent de 10 % elles passeront à (10 % de 62,5 % en plus) : 62,5 * 1,1 = 68,75 %</w:t>
      </w:r>
    </w:p>
    <w:p w:rsidR="00B521BE" w:rsidRPr="00B521BE" w:rsidRDefault="00B521BE" w:rsidP="00B521BE">
      <w:pPr>
        <w:pStyle w:val="Paragraphedeliste"/>
        <w:numPr>
          <w:ilvl w:val="0"/>
          <w:numId w:val="8"/>
        </w:numPr>
        <w:spacing w:after="0" w:afterAutospacing="0"/>
        <w:rPr>
          <w:rFonts w:cs="Arial"/>
          <w:b/>
          <w:noProof w:val="0"/>
          <w:color w:val="2F5496" w:themeColor="accent5" w:themeShade="BF"/>
          <w:sz w:val="24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24"/>
          <w:szCs w:val="18"/>
        </w:rPr>
        <w:t>Donc le nouveau taux de MCV = 100 – 68,75  = 31,25 %</w:t>
      </w:r>
    </w:p>
    <w:p w:rsidR="00B521BE" w:rsidRPr="00B521BE" w:rsidRDefault="00B521BE" w:rsidP="00B521BE">
      <w:pPr>
        <w:pStyle w:val="Paragraphedeliste"/>
        <w:numPr>
          <w:ilvl w:val="0"/>
          <w:numId w:val="8"/>
        </w:numPr>
        <w:spacing w:after="0" w:afterAutospacing="0"/>
        <w:rPr>
          <w:rFonts w:cs="Arial"/>
          <w:b/>
          <w:noProof w:val="0"/>
          <w:color w:val="2F5496" w:themeColor="accent5" w:themeShade="BF"/>
          <w:sz w:val="24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24"/>
          <w:szCs w:val="18"/>
        </w:rPr>
        <w:t>Nouvelles charges fixes = 446 000 * 1,05 = 468 300 €</w:t>
      </w:r>
    </w:p>
    <w:p w:rsidR="00B521BE" w:rsidRPr="00B521BE" w:rsidRDefault="00B521BE" w:rsidP="00B521BE">
      <w:pPr>
        <w:pStyle w:val="Paragraphedeliste"/>
        <w:numPr>
          <w:ilvl w:val="0"/>
          <w:numId w:val="8"/>
        </w:numPr>
        <w:spacing w:after="0" w:afterAutospacing="0"/>
        <w:rPr>
          <w:rFonts w:cs="Arial"/>
          <w:b/>
          <w:noProof w:val="0"/>
          <w:color w:val="2F5496" w:themeColor="accent5" w:themeShade="BF"/>
          <w:sz w:val="24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24"/>
          <w:szCs w:val="18"/>
        </w:rPr>
        <w:t>Nouveau seuil de rentabilité = 468 300 / 0,3125 = 1 498 560 €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  <w:r w:rsidRPr="00B521BE">
        <w:rPr>
          <w:rFonts w:cs="Arial"/>
          <w:b/>
          <w:noProof w:val="0"/>
          <w:sz w:val="18"/>
          <w:szCs w:val="18"/>
          <w:u w:val="single"/>
        </w:rPr>
        <w:t>EXERCICE 36</w:t>
      </w: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Les charges de l’entreprise MARBRIER ont été les suivantes au cours du dernier exercice :</w:t>
      </w:r>
    </w:p>
    <w:p w:rsidR="00B521BE" w:rsidRPr="00B521BE" w:rsidRDefault="00B521BE" w:rsidP="00B521BE">
      <w:pPr>
        <w:numPr>
          <w:ilvl w:val="0"/>
          <w:numId w:val="5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 xml:space="preserve">Achats d’approvisionnement </w:t>
      </w:r>
      <w:r w:rsidRPr="00B521BE">
        <w:rPr>
          <w:rFonts w:cs="Arial"/>
          <w:noProof w:val="0"/>
          <w:sz w:val="18"/>
          <w:szCs w:val="18"/>
        </w:rPr>
        <w:tab/>
        <w:t>700 000 €</w:t>
      </w:r>
    </w:p>
    <w:p w:rsidR="00B521BE" w:rsidRPr="00B521BE" w:rsidRDefault="00B521BE" w:rsidP="00B521BE">
      <w:pPr>
        <w:numPr>
          <w:ilvl w:val="0"/>
          <w:numId w:val="5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Charges de personnel</w:t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  <w:t>360 000 €</w:t>
      </w:r>
    </w:p>
    <w:p w:rsidR="00B521BE" w:rsidRPr="00B521BE" w:rsidRDefault="00B521BE" w:rsidP="00B521BE">
      <w:pPr>
        <w:numPr>
          <w:ilvl w:val="0"/>
          <w:numId w:val="5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Dotations de l’exercice</w:t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  <w:t>142 000 €</w:t>
      </w:r>
    </w:p>
    <w:p w:rsidR="00B521BE" w:rsidRPr="00B521BE" w:rsidRDefault="00B521BE" w:rsidP="00B521BE">
      <w:pPr>
        <w:numPr>
          <w:ilvl w:val="0"/>
          <w:numId w:val="5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Services extérieurs</w:t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  <w:t xml:space="preserve">80 000 € </w:t>
      </w:r>
    </w:p>
    <w:p w:rsidR="00B521BE" w:rsidRPr="00B521BE" w:rsidRDefault="00B521BE" w:rsidP="00B521BE">
      <w:pPr>
        <w:numPr>
          <w:ilvl w:val="0"/>
          <w:numId w:val="5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Autres services extérieurs</w:t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  <w:t>92 000 €</w:t>
      </w:r>
    </w:p>
    <w:p w:rsidR="00B521BE" w:rsidRPr="00B521BE" w:rsidRDefault="00B521BE" w:rsidP="00B521BE">
      <w:pPr>
        <w:numPr>
          <w:ilvl w:val="0"/>
          <w:numId w:val="5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Impôts et taxes</w:t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  <w:t>30 000 €</w:t>
      </w:r>
    </w:p>
    <w:p w:rsidR="00B521BE" w:rsidRPr="00B521BE" w:rsidRDefault="00B521BE" w:rsidP="00B521BE">
      <w:pPr>
        <w:numPr>
          <w:ilvl w:val="0"/>
          <w:numId w:val="5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Charges financières</w:t>
      </w:r>
      <w:r w:rsidRPr="00B521BE">
        <w:rPr>
          <w:rFonts w:cs="Arial"/>
          <w:noProof w:val="0"/>
          <w:sz w:val="18"/>
          <w:szCs w:val="18"/>
        </w:rPr>
        <w:tab/>
      </w:r>
      <w:r w:rsidRPr="00B521BE">
        <w:rPr>
          <w:rFonts w:cs="Arial"/>
          <w:noProof w:val="0"/>
          <w:sz w:val="18"/>
          <w:szCs w:val="18"/>
        </w:rPr>
        <w:tab/>
        <w:t>16 000 €</w:t>
      </w: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Il n’y avait ni stock initial, ni stock final. Le chiffre d’affaires s’est élevé à 1 716 000 €. On vous communique le tableau de ventilation des charges en charges opérationnelles et charges de structure. (Tableau à compléter)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216"/>
        <w:gridCol w:w="1616"/>
        <w:gridCol w:w="1176"/>
        <w:gridCol w:w="1576"/>
      </w:tblGrid>
      <w:tr w:rsidR="00B521BE" w:rsidRPr="00B521BE" w:rsidTr="004B1BD8">
        <w:trPr>
          <w:trHeight w:hRule="exact" w:val="227"/>
        </w:trPr>
        <w:tc>
          <w:tcPr>
            <w:tcW w:w="3102" w:type="dxa"/>
            <w:shd w:val="clear" w:color="auto" w:fill="C0C0C0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Charge par nature</w:t>
            </w:r>
          </w:p>
        </w:tc>
        <w:tc>
          <w:tcPr>
            <w:tcW w:w="1216" w:type="dxa"/>
            <w:shd w:val="clear" w:color="auto" w:fill="C0C0C0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  <w:t>CV en %</w:t>
            </w:r>
          </w:p>
        </w:tc>
        <w:tc>
          <w:tcPr>
            <w:tcW w:w="1616" w:type="dxa"/>
            <w:shd w:val="clear" w:color="auto" w:fill="C0C0C0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CV en valeur</w:t>
            </w:r>
          </w:p>
        </w:tc>
        <w:tc>
          <w:tcPr>
            <w:tcW w:w="1176" w:type="dxa"/>
            <w:shd w:val="clear" w:color="auto" w:fill="C0C0C0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CF en %</w:t>
            </w:r>
          </w:p>
        </w:tc>
        <w:tc>
          <w:tcPr>
            <w:tcW w:w="1576" w:type="dxa"/>
            <w:shd w:val="clear" w:color="auto" w:fill="C0C0C0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CF en valeur</w:t>
            </w:r>
          </w:p>
        </w:tc>
      </w:tr>
      <w:tr w:rsidR="00B521BE" w:rsidRPr="00B521BE" w:rsidTr="004B1BD8">
        <w:trPr>
          <w:trHeight w:hRule="exact" w:val="227"/>
        </w:trPr>
        <w:tc>
          <w:tcPr>
            <w:tcW w:w="310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Achats d’approvisionnement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700 000 €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0 %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0 €</w:t>
            </w:r>
          </w:p>
        </w:tc>
      </w:tr>
      <w:tr w:rsidR="00B521BE" w:rsidRPr="00B521BE" w:rsidTr="004B1BD8">
        <w:trPr>
          <w:trHeight w:hRule="exact" w:val="227"/>
        </w:trPr>
        <w:tc>
          <w:tcPr>
            <w:tcW w:w="310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Services extérieurs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  <w:t xml:space="preserve">80 %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64 000 €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20 %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16 000 €</w:t>
            </w:r>
          </w:p>
        </w:tc>
      </w:tr>
      <w:tr w:rsidR="00B521BE" w:rsidRPr="00B521BE" w:rsidTr="004B1BD8">
        <w:trPr>
          <w:trHeight w:hRule="exact" w:val="227"/>
        </w:trPr>
        <w:tc>
          <w:tcPr>
            <w:tcW w:w="310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Autres services extérieurs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  <w:t>60 %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55 200 €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40 %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36 800 €</w:t>
            </w:r>
          </w:p>
        </w:tc>
      </w:tr>
      <w:tr w:rsidR="00B521BE" w:rsidRPr="00B521BE" w:rsidTr="004B1BD8">
        <w:trPr>
          <w:trHeight w:hRule="exact" w:val="227"/>
        </w:trPr>
        <w:tc>
          <w:tcPr>
            <w:tcW w:w="310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Impôts et taxes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  <w:t>20 %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6 000 €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80 %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24 000 €</w:t>
            </w:r>
          </w:p>
        </w:tc>
      </w:tr>
      <w:tr w:rsidR="00B521BE" w:rsidRPr="00B521BE" w:rsidTr="004B1BD8">
        <w:trPr>
          <w:trHeight w:hRule="exact" w:val="227"/>
        </w:trPr>
        <w:tc>
          <w:tcPr>
            <w:tcW w:w="310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Charges de personnel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  <w:t>30 %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108 000 €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70 %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252 000 €</w:t>
            </w:r>
          </w:p>
        </w:tc>
      </w:tr>
      <w:tr w:rsidR="00B521BE" w:rsidRPr="00B521BE" w:rsidTr="004B1BD8">
        <w:trPr>
          <w:trHeight w:hRule="exact" w:val="227"/>
        </w:trPr>
        <w:tc>
          <w:tcPr>
            <w:tcW w:w="310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Charges financières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  <w:t>95 %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15 200 €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5 %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800 €</w:t>
            </w:r>
          </w:p>
        </w:tc>
      </w:tr>
      <w:tr w:rsidR="00B521BE" w:rsidRPr="00B521BE" w:rsidTr="004B1BD8">
        <w:trPr>
          <w:trHeight w:hRule="exact" w:val="227"/>
        </w:trPr>
        <w:tc>
          <w:tcPr>
            <w:tcW w:w="310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Dotations de l’exercice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100 %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142 000 €</w:t>
            </w:r>
          </w:p>
        </w:tc>
      </w:tr>
      <w:tr w:rsidR="00B521BE" w:rsidRPr="00B521BE" w:rsidTr="004B1BD8">
        <w:trPr>
          <w:trHeight w:hRule="exact" w:val="227"/>
        </w:trPr>
        <w:tc>
          <w:tcPr>
            <w:tcW w:w="310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TOTAL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948 400 €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XXXX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471 600 €</w:t>
            </w:r>
          </w:p>
        </w:tc>
      </w:tr>
    </w:tbl>
    <w:p w:rsidR="00B521BE" w:rsidRPr="00B521BE" w:rsidRDefault="00B521BE" w:rsidP="00B521BE">
      <w:pPr>
        <w:spacing w:after="160" w:afterAutospacing="0"/>
        <w:rPr>
          <w:rFonts w:cs="Arial"/>
          <w:noProof w:val="0"/>
          <w:sz w:val="18"/>
          <w:szCs w:val="18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  <w:r w:rsidRPr="00B521BE">
        <w:rPr>
          <w:rFonts w:cs="Arial"/>
          <w:b/>
          <w:noProof w:val="0"/>
          <w:sz w:val="18"/>
          <w:szCs w:val="18"/>
          <w:u w:val="single"/>
        </w:rPr>
        <w:t>Travail à faire :</w:t>
      </w:r>
    </w:p>
    <w:p w:rsidR="00B521BE" w:rsidRPr="00B521BE" w:rsidRDefault="00B521BE" w:rsidP="00B521BE">
      <w:pPr>
        <w:numPr>
          <w:ilvl w:val="0"/>
          <w:numId w:val="6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Calculer le montant des charges variables et le montant des charges fixes.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Voir tableau ci-dessus</w:t>
      </w:r>
    </w:p>
    <w:p w:rsidR="00B521BE" w:rsidRPr="00B521BE" w:rsidRDefault="00B521BE" w:rsidP="00B521BE">
      <w:pPr>
        <w:numPr>
          <w:ilvl w:val="0"/>
          <w:numId w:val="6"/>
        </w:numPr>
        <w:spacing w:after="160" w:afterAutospacing="0"/>
        <w:contextualSpacing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Déterminer le seuil de rentabilité.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Calcul de la marge sur coût variable : MCV = CA – CV = 1 716 000 – 948 400 = 767 600 €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Calcul du taux de marge sur coût variable : Taux de MCV = MCV/CA*100 = 767 600/1 716 000 * 100 = 44,73 %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Calcul du SR = CF/Taux de MCV = 471 600/0,4473 = 1 054 326 €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 w:val="18"/>
          <w:szCs w:val="18"/>
        </w:rPr>
      </w:pPr>
      <w:r w:rsidRPr="00B521BE">
        <w:rPr>
          <w:rFonts w:cs="Arial"/>
          <w:b/>
          <w:noProof w:val="0"/>
          <w:sz w:val="18"/>
          <w:szCs w:val="18"/>
          <w:u w:val="single"/>
        </w:rPr>
        <w:lastRenderedPageBreak/>
        <w:t>EXERCICE 37</w:t>
      </w: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Cs w:val="18"/>
        </w:rPr>
      </w:pPr>
      <w:r w:rsidRPr="00B521BE">
        <w:rPr>
          <w:rFonts w:cs="Arial"/>
          <w:noProof w:val="0"/>
          <w:sz w:val="20"/>
          <w:szCs w:val="18"/>
        </w:rPr>
        <w:t xml:space="preserve">L’entreprise TISSALP envisage de commercialiser un nouveau type de gant et se fixe </w:t>
      </w:r>
      <w:r w:rsidRPr="00B521BE">
        <w:rPr>
          <w:rFonts w:cs="Arial"/>
          <w:b/>
          <w:noProof w:val="0"/>
        </w:rPr>
        <w:t>comme objectif d’atteindre le point mort la première année et de réaliser un profit de 400 000 € l’année suivante.</w:t>
      </w:r>
      <w:r w:rsidRPr="00B521BE">
        <w:rPr>
          <w:rFonts w:cs="Arial"/>
          <w:noProof w:val="0"/>
          <w:szCs w:val="18"/>
        </w:rPr>
        <w:t xml:space="preserve"> </w:t>
      </w: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 w:val="20"/>
          <w:szCs w:val="18"/>
        </w:rPr>
      </w:pPr>
      <w:r w:rsidRPr="00B521BE">
        <w:rPr>
          <w:rFonts w:cs="Arial"/>
          <w:noProof w:val="0"/>
          <w:sz w:val="20"/>
          <w:szCs w:val="18"/>
        </w:rPr>
        <w:t>La fabrication impliquerait des frais fixes annuels de 1 000 000 €, le coût variable unitaire s’élèverait à 10 € et le prix de vente unitaire à 30 €. Pour réaliser l’objectif visé, quelles productions doivent être réalisées au cours de la première année et de la deuxième année ?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Marge sur coût variable unitaire = 20 € (30 – 10)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SR en Q pour la 1</w:t>
      </w: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  <w:vertAlign w:val="superscript"/>
        </w:rPr>
        <w:t>ère</w:t>
      </w: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 xml:space="preserve"> année : 1 000 000 / 20 = 50 000 produits soit un chiffre d’affaires de 1 500 000 € (50 000*30)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SR en Q pour la 2</w:t>
      </w: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  <w:vertAlign w:val="superscript"/>
        </w:rPr>
        <w:t>ème</w:t>
      </w: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 xml:space="preserve"> année : (1 000 000 + 400 000)/ 20 = 70 000 produits  soit un chiffre d’affaires de 2 100 000 € (70 000*30)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Taux de MCV = MCV/CA = (30 – 10)/30 = 20/30 = 0,66666666 = 0,6666666*100 = 66,6666667 %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SR en € = 1 000 000/0,6666666666667 = 1 500 000 €        SR en Q = 1 500 000/30 = 50 000 produits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SR en € = (1 000 000 + 400 000)/0,6666667 = 2 100 000 €       SR en Q = 2 100 000/30 = 70 000 produits</w:t>
      </w: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  <w:r w:rsidRPr="00B521BE">
        <w:rPr>
          <w:rFonts w:cs="Arial"/>
          <w:b/>
          <w:noProof w:val="0"/>
          <w:sz w:val="18"/>
          <w:szCs w:val="18"/>
          <w:u w:val="single"/>
        </w:rPr>
        <w:t>EXERCICE 38</w:t>
      </w:r>
    </w:p>
    <w:p w:rsidR="00B521BE" w:rsidRPr="00B521BE" w:rsidRDefault="00B521BE" w:rsidP="00B521BE">
      <w:pPr>
        <w:spacing w:after="160" w:afterAutospacing="0"/>
        <w:rPr>
          <w:rFonts w:cs="Arial"/>
          <w:noProof w:val="0"/>
          <w:sz w:val="18"/>
          <w:szCs w:val="18"/>
        </w:rPr>
      </w:pPr>
      <w:r w:rsidRPr="00B521BE">
        <w:rPr>
          <w:rFonts w:cs="Arial"/>
          <w:noProof w:val="0"/>
          <w:sz w:val="18"/>
          <w:szCs w:val="18"/>
        </w:rPr>
        <w:t>Deux entreprises A et B fabriquent et vendent un même produit M. Elles pratiquent le même prix de vente, soit 100 € par article. L’une des entreprises est fortement mécanisée. Pour N, le résultat de l’exercice de chacune des deux entreprises peut être calculé à l’aide des données du tableau suivant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1556"/>
        <w:gridCol w:w="1543"/>
      </w:tblGrid>
      <w:tr w:rsidR="00B521BE" w:rsidRPr="00B521BE" w:rsidTr="004B1BD8">
        <w:trPr>
          <w:trHeight w:hRule="exact" w:val="227"/>
          <w:jc w:val="center"/>
        </w:trPr>
        <w:tc>
          <w:tcPr>
            <w:tcW w:w="457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noProof w:val="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sz w:val="18"/>
                <w:szCs w:val="18"/>
              </w:rPr>
              <w:t>Entreprise A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sz w:val="18"/>
                <w:szCs w:val="18"/>
              </w:rPr>
              <w:t>Entreprise B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457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Chiffre d’affaires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1 000 000 €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1 000 000 €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457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MP consommées (charges variables)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500 000 €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500 000 €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457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 xml:space="preserve">DAP </w:t>
            </w: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(Dotation Amortissement et Provision) Charges fixes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200 000 €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457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Autres charges variables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250 000 €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50 000 €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4572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Autres charges fixes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150 000 €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B521BE">
              <w:rPr>
                <w:rFonts w:cs="Arial"/>
                <w:noProof w:val="0"/>
                <w:sz w:val="18"/>
                <w:szCs w:val="18"/>
              </w:rPr>
              <w:t>200 000 €</w:t>
            </w:r>
          </w:p>
        </w:tc>
      </w:tr>
    </w:tbl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  <w:r w:rsidRPr="00B521BE">
        <w:rPr>
          <w:rFonts w:cs="Arial"/>
          <w:b/>
          <w:noProof w:val="0"/>
          <w:sz w:val="18"/>
          <w:szCs w:val="18"/>
          <w:u w:val="single"/>
        </w:rPr>
        <w:t>Travail à faire :</w:t>
      </w:r>
    </w:p>
    <w:p w:rsidR="00B521BE" w:rsidRDefault="00B521BE" w:rsidP="00B521BE">
      <w:pPr>
        <w:numPr>
          <w:ilvl w:val="0"/>
          <w:numId w:val="7"/>
        </w:numPr>
        <w:spacing w:after="160" w:afterAutospacing="0"/>
        <w:contextualSpacing/>
        <w:rPr>
          <w:rFonts w:cs="Arial"/>
          <w:b/>
          <w:noProof w:val="0"/>
          <w:sz w:val="20"/>
          <w:szCs w:val="18"/>
        </w:rPr>
      </w:pPr>
      <w:r w:rsidRPr="00B521BE">
        <w:rPr>
          <w:rFonts w:cs="Arial"/>
          <w:b/>
          <w:noProof w:val="0"/>
          <w:sz w:val="20"/>
          <w:szCs w:val="18"/>
        </w:rPr>
        <w:t>Quelle est, à priori, l’entreprise la plus mécanisée ? Justifiez votre réponse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b/>
          <w:noProof w:val="0"/>
          <w:sz w:val="20"/>
          <w:szCs w:val="18"/>
        </w:rPr>
      </w:pP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>DAP = DOTATION AMORTISSEMENT PROVISION = Charges  de structure (charge fixe)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  <w:u w:val="single"/>
        </w:rPr>
        <w:t>L’entreprise la plus mécanisée est l’entreprise B</w:t>
      </w:r>
      <w:r w:rsidRPr="00B521BE">
        <w:rPr>
          <w:rFonts w:cs="Arial"/>
          <w:b/>
          <w:noProof w:val="0"/>
          <w:color w:val="2F5496" w:themeColor="accent5" w:themeShade="BF"/>
          <w:sz w:val="18"/>
          <w:szCs w:val="18"/>
        </w:rPr>
        <w:t xml:space="preserve"> en raison d’une DAP 4 fois plus élevée que l’entreprise A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</w:p>
    <w:p w:rsidR="00B521BE" w:rsidRDefault="00B521BE" w:rsidP="00B521BE">
      <w:pPr>
        <w:numPr>
          <w:ilvl w:val="0"/>
          <w:numId w:val="7"/>
        </w:numPr>
        <w:spacing w:after="160" w:afterAutospacing="0"/>
        <w:contextualSpacing/>
        <w:rPr>
          <w:rFonts w:cs="Arial"/>
          <w:b/>
          <w:noProof w:val="0"/>
          <w:sz w:val="18"/>
          <w:szCs w:val="18"/>
        </w:rPr>
      </w:pPr>
      <w:r w:rsidRPr="00B521BE">
        <w:rPr>
          <w:rFonts w:cs="Arial"/>
          <w:b/>
          <w:noProof w:val="0"/>
          <w:sz w:val="18"/>
          <w:szCs w:val="18"/>
        </w:rPr>
        <w:t>Calculez le résultat de chacune des deux entreprises.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b/>
          <w:noProof w:val="0"/>
          <w:sz w:val="18"/>
          <w:szCs w:val="18"/>
        </w:rPr>
      </w:pP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6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6"/>
          <w:szCs w:val="18"/>
        </w:rPr>
        <w:t>RESULTAT = Chiffres d’affaires – Charges variables et fixes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6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6"/>
          <w:szCs w:val="18"/>
        </w:rPr>
        <w:t xml:space="preserve">50 000 € pour A (1 000 000 – 500 000 – 50 000 – 250 000 – 150 000) 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6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16"/>
          <w:szCs w:val="18"/>
        </w:rPr>
        <w:t>Et 50 000 € pour B (1 000 000 – 500 000 – 200 000 – 50 000 – 200 000)</w:t>
      </w:r>
    </w:p>
    <w:p w:rsidR="00B521BE" w:rsidRPr="00B521BE" w:rsidRDefault="00B521BE" w:rsidP="00B521BE">
      <w:pPr>
        <w:spacing w:after="0" w:afterAutospacing="0"/>
        <w:rPr>
          <w:rFonts w:cs="Arial"/>
          <w:b/>
          <w:noProof w:val="0"/>
          <w:color w:val="2F5496" w:themeColor="accent5" w:themeShade="BF"/>
          <w:sz w:val="18"/>
          <w:szCs w:val="18"/>
        </w:rPr>
      </w:pPr>
    </w:p>
    <w:p w:rsidR="00B521BE" w:rsidRDefault="00B521BE" w:rsidP="00B521BE">
      <w:pPr>
        <w:numPr>
          <w:ilvl w:val="0"/>
          <w:numId w:val="7"/>
        </w:numPr>
        <w:spacing w:after="160" w:afterAutospacing="0"/>
        <w:contextualSpacing/>
        <w:rPr>
          <w:rFonts w:cs="Arial"/>
          <w:b/>
          <w:noProof w:val="0"/>
          <w:sz w:val="20"/>
          <w:szCs w:val="18"/>
        </w:rPr>
      </w:pPr>
      <w:r w:rsidRPr="00B521BE">
        <w:rPr>
          <w:rFonts w:cs="Arial"/>
          <w:b/>
          <w:noProof w:val="0"/>
          <w:sz w:val="20"/>
          <w:szCs w:val="18"/>
        </w:rPr>
        <w:t>Calculez le seuil de rentabilité de chacune des deux entreprises.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b/>
          <w:noProof w:val="0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543"/>
      </w:tblGrid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Entreprise A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Entreprise B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Chiffre d’affaires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1 000 000 €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1 000 000 €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MP consommées (CV)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500 000 €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500 000 €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DAP (CF)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200 000 €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Autres charges variables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250 000 €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50 000 €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Autres charges fixes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150 000 €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200 000 €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  <w:t>TOTAL Charges variables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  <w:t>750 000 €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  <w:t>550 000 €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TOTAL Charges fixes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200 000 €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400 000 €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Marge sur coût variable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250 000 €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450 000 €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Taux de MCV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25 %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45 %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Seuil de rentabilité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800 000 €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888 889 €</w:t>
            </w:r>
          </w:p>
        </w:tc>
      </w:tr>
    </w:tbl>
    <w:p w:rsidR="00B521BE" w:rsidRPr="00B521BE" w:rsidRDefault="00B521BE" w:rsidP="00B521BE">
      <w:pPr>
        <w:spacing w:after="160" w:afterAutospacing="0"/>
        <w:rPr>
          <w:rFonts w:cs="Arial"/>
          <w:noProof w:val="0"/>
          <w:sz w:val="18"/>
          <w:szCs w:val="18"/>
        </w:rPr>
      </w:pPr>
    </w:p>
    <w:p w:rsid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</w:rPr>
      </w:pPr>
    </w:p>
    <w:p w:rsidR="00B521BE" w:rsidRDefault="00B521BE" w:rsidP="00B521BE">
      <w:pPr>
        <w:numPr>
          <w:ilvl w:val="0"/>
          <w:numId w:val="7"/>
        </w:numPr>
        <w:spacing w:after="160" w:afterAutospacing="0"/>
        <w:contextualSpacing/>
        <w:rPr>
          <w:rFonts w:cs="Arial"/>
          <w:b/>
          <w:noProof w:val="0"/>
          <w:sz w:val="20"/>
          <w:szCs w:val="18"/>
        </w:rPr>
      </w:pPr>
      <w:r w:rsidRPr="00B521BE">
        <w:rPr>
          <w:rFonts w:cs="Arial"/>
          <w:b/>
          <w:noProof w:val="0"/>
          <w:sz w:val="20"/>
          <w:szCs w:val="18"/>
        </w:rPr>
        <w:t>Déterminez par le calcul l’entreprise la plus vulnérable au cas où une crise entraînerait une baisse de 50 % du chiffre d’affaires des deux entreprises.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b/>
          <w:noProof w:val="0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543"/>
      </w:tblGrid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Entreprise A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Entreprise B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Chiffre d’affaires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500 000 €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500 000 €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MP consommées (CV)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250 000 €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DAP (CF)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200 000 €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Autres charges variables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125 000 €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25 000 €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Autres charges fixes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150 000 €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200 000 €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TOTAL Charges variables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375 000 €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275 000 €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TOTAL Charges fixes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400 000 €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Nouveau résultat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- 75 000 €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20"/>
                <w:szCs w:val="18"/>
              </w:rPr>
              <w:t>- 175 000 €</w:t>
            </w:r>
          </w:p>
        </w:tc>
      </w:tr>
    </w:tbl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color w:val="2F5496" w:themeColor="accent5" w:themeShade="BF"/>
          <w:sz w:val="20"/>
          <w:szCs w:val="18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color w:val="2F5496" w:themeColor="accent5" w:themeShade="BF"/>
          <w:sz w:val="20"/>
          <w:szCs w:val="18"/>
        </w:rPr>
      </w:pPr>
      <w:r w:rsidRPr="00B521BE">
        <w:rPr>
          <w:rFonts w:cs="Arial"/>
          <w:b/>
          <w:noProof w:val="0"/>
          <w:color w:val="2F5496" w:themeColor="accent5" w:themeShade="BF"/>
          <w:sz w:val="20"/>
          <w:szCs w:val="18"/>
        </w:rPr>
        <w:t>L’entreprise la plus vulnérable est donc l’entreprise B (résultat plus faible)</w:t>
      </w:r>
    </w:p>
    <w:p w:rsidR="00B521BE" w:rsidRDefault="00B521BE" w:rsidP="00B521BE">
      <w:pPr>
        <w:numPr>
          <w:ilvl w:val="0"/>
          <w:numId w:val="7"/>
        </w:numPr>
        <w:spacing w:after="160" w:afterAutospacing="0"/>
        <w:contextualSpacing/>
        <w:rPr>
          <w:rFonts w:cs="Arial"/>
          <w:b/>
          <w:noProof w:val="0"/>
          <w:sz w:val="20"/>
          <w:szCs w:val="18"/>
        </w:rPr>
      </w:pPr>
      <w:r w:rsidRPr="00B521BE">
        <w:rPr>
          <w:rFonts w:cs="Arial"/>
          <w:b/>
          <w:noProof w:val="0"/>
          <w:sz w:val="20"/>
          <w:szCs w:val="18"/>
        </w:rPr>
        <w:t>Pour N+1, chacun des chefs d’entreprise étudie la possibilité de doubler les quantités vendues, en même temps que le résultat. Cet objectif peut être envisagé sans modification de structure. A quel prix de vente cet objectif correspond-il pour chacune des deux entreprises ?</w:t>
      </w:r>
    </w:p>
    <w:p w:rsidR="00B521BE" w:rsidRPr="00B521BE" w:rsidRDefault="00B521BE" w:rsidP="00B521BE">
      <w:pPr>
        <w:spacing w:after="160" w:afterAutospacing="0"/>
        <w:ind w:left="720"/>
        <w:contextualSpacing/>
        <w:rPr>
          <w:rFonts w:cs="Arial"/>
          <w:b/>
          <w:noProof w:val="0"/>
          <w:sz w:val="20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543"/>
      </w:tblGrid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Entreprise A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Entreprise B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Nouvelles quantités produites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20 000 produits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20 000 produits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Nouvelles CV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1 500 000 €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1 100 000 €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Nouvelles CF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200 000 €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400 000 €</w:t>
            </w:r>
          </w:p>
        </w:tc>
      </w:tr>
      <w:tr w:rsidR="00B521BE" w:rsidRPr="00B521BE" w:rsidTr="004B1BD8">
        <w:trPr>
          <w:trHeight w:hRule="exact" w:val="227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Nouveaux résultats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100 000 €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 w:val="18"/>
                <w:szCs w:val="18"/>
              </w:rPr>
              <w:t>100 000 €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  <w:t>Nouveaux CA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  <w:t>1 800 000 €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  <w:t>1 600 000 €</w:t>
            </w:r>
          </w:p>
        </w:tc>
      </w:tr>
      <w:tr w:rsidR="00B521BE" w:rsidRPr="00B521BE" w:rsidTr="004B1BD8">
        <w:trPr>
          <w:trHeight w:hRule="exact"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right"/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  <w:t>Nouveaux prix unitaires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  <w:t>90 €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21BE" w:rsidRPr="00B521BE" w:rsidRDefault="00B521BE" w:rsidP="00B521BE">
            <w:pPr>
              <w:spacing w:after="160" w:afterAutospacing="0"/>
              <w:jc w:val="center"/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</w:pPr>
            <w:r w:rsidRPr="00B521BE">
              <w:rPr>
                <w:rFonts w:cs="Arial"/>
                <w:b/>
                <w:noProof w:val="0"/>
                <w:color w:val="2F5496" w:themeColor="accent5" w:themeShade="BF"/>
                <w:szCs w:val="18"/>
              </w:rPr>
              <w:t>80 €</w:t>
            </w:r>
          </w:p>
        </w:tc>
      </w:tr>
    </w:tbl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Pr="00B521BE" w:rsidRDefault="00B521BE" w:rsidP="00B521BE">
      <w:pPr>
        <w:spacing w:after="160" w:afterAutospacing="0"/>
        <w:rPr>
          <w:rFonts w:cs="Arial"/>
          <w:b/>
          <w:noProof w:val="0"/>
          <w:sz w:val="18"/>
          <w:szCs w:val="18"/>
          <w:u w:val="single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</w:p>
    <w:p w:rsidR="00B521BE" w:rsidRDefault="00B521BE">
      <w:pPr>
        <w:rPr>
          <w:rFonts w:ascii="Comic Sans MS" w:hAnsi="Comic Sans MS"/>
          <w:b/>
          <w:u w:val="single"/>
          <w:lang w:eastAsia="fr-FR"/>
        </w:rPr>
      </w:pPr>
      <w:r>
        <w:rPr>
          <w:rFonts w:ascii="Comic Sans MS" w:hAnsi="Comic Sans MS"/>
          <w:b/>
          <w:u w:val="single"/>
          <w:lang w:eastAsia="fr-FR"/>
        </w:rPr>
        <w:lastRenderedPageBreak/>
        <w:t>Quelques exercices sur les calculs commerciaux (surtout le taux de marque !!)</w:t>
      </w:r>
    </w:p>
    <w:p w:rsidR="003D5BE7" w:rsidRPr="003D5BE7" w:rsidRDefault="003D5BE7">
      <w:pPr>
        <w:rPr>
          <w:rFonts w:ascii="Comic Sans MS" w:hAnsi="Comic Sans MS"/>
          <w:b/>
          <w:u w:val="single"/>
          <w:lang w:eastAsia="fr-FR"/>
        </w:rPr>
      </w:pPr>
      <w:r w:rsidRPr="003D5BE7">
        <w:rPr>
          <w:rFonts w:ascii="Comic Sans MS" w:hAnsi="Comic Sans MS"/>
          <w:b/>
          <w:u w:val="single"/>
          <w:lang w:eastAsia="fr-FR"/>
        </w:rPr>
        <w:t>EXERCICE 1</w:t>
      </w:r>
    </w:p>
    <w:p w:rsidR="003D5BE7" w:rsidRDefault="003D5BE7">
      <w:pPr>
        <w:rPr>
          <w:lang w:eastAsia="fr-FR"/>
        </w:rPr>
      </w:pPr>
      <w:r>
        <w:rPr>
          <w:lang w:eastAsia="fr-FR"/>
        </w:rPr>
        <w:drawing>
          <wp:inline distT="0" distB="0" distL="0" distR="0" wp14:anchorId="6AA36135" wp14:editId="18D52817">
            <wp:extent cx="5760720" cy="33496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3D" w:rsidRDefault="002B663D" w:rsidP="003D5BE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D5BE7">
        <w:rPr>
          <w:rFonts w:ascii="Comic Sans MS" w:hAnsi="Comic Sans MS"/>
        </w:rPr>
        <w:t>Complétez la facture suivante</w:t>
      </w:r>
    </w:p>
    <w:p w:rsidR="003D5BE7" w:rsidRDefault="003D5BE7" w:rsidP="003D5BE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Calculez le taux de marque</w:t>
      </w:r>
    </w:p>
    <w:p w:rsidR="003D5BE7" w:rsidRDefault="003D5BE7" w:rsidP="003D5BE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Calculez le taux de remise par rapport au prix d’achat brut HT.</w:t>
      </w:r>
    </w:p>
    <w:p w:rsidR="003D5BE7" w:rsidRPr="003D5BE7" w:rsidRDefault="003D5BE7" w:rsidP="003D5BE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Calculez le taux des frais d’achat par rapport au prix d’achat net HT (arrondir à l’unité)</w:t>
      </w:r>
    </w:p>
    <w:p w:rsidR="002B663D" w:rsidRPr="003D5BE7" w:rsidRDefault="002B663D">
      <w:pPr>
        <w:rPr>
          <w:rFonts w:ascii="Comic Sans MS" w:hAnsi="Comic Sans MS"/>
          <w:b/>
          <w:u w:val="single"/>
        </w:rPr>
      </w:pPr>
      <w:r w:rsidRPr="003D5BE7">
        <w:rPr>
          <w:rFonts w:ascii="Comic Sans MS" w:hAnsi="Comic Sans MS"/>
          <w:b/>
          <w:u w:val="single"/>
        </w:rPr>
        <w:t>EXERCICE 2</w:t>
      </w:r>
    </w:p>
    <w:p w:rsidR="002B663D" w:rsidRDefault="003D5BE7">
      <w:pPr>
        <w:rPr>
          <w:rFonts w:ascii="Comic Sans MS" w:hAnsi="Comic Sans MS"/>
        </w:rPr>
      </w:pPr>
      <w:r>
        <w:rPr>
          <w:rFonts w:ascii="Comic Sans MS" w:hAnsi="Comic Sans MS"/>
        </w:rPr>
        <w:t>Le coût d’achat d’une marchandise est de 125,25 € et son prix de vente HT est de 150 €. Calculez la marge brute puis le taux de marque.</w:t>
      </w:r>
    </w:p>
    <w:p w:rsidR="003D5BE7" w:rsidRPr="003D5BE7" w:rsidRDefault="003D5BE7">
      <w:pPr>
        <w:rPr>
          <w:rFonts w:ascii="Comic Sans MS" w:hAnsi="Comic Sans MS"/>
          <w:b/>
          <w:u w:val="single"/>
        </w:rPr>
      </w:pPr>
      <w:r w:rsidRPr="003D5BE7">
        <w:rPr>
          <w:rFonts w:ascii="Comic Sans MS" w:hAnsi="Comic Sans MS"/>
          <w:b/>
          <w:u w:val="single"/>
        </w:rPr>
        <w:t>EXERCICE 3</w:t>
      </w:r>
    </w:p>
    <w:p w:rsidR="003D5BE7" w:rsidRDefault="003D5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taux de marque d’un article est de </w:t>
      </w:r>
      <w:r w:rsidR="00B521BE">
        <w:rPr>
          <w:rFonts w:ascii="Comic Sans MS" w:hAnsi="Comic Sans MS"/>
        </w:rPr>
        <w:t>17%. Son prix de vente HT</w:t>
      </w:r>
      <w:r>
        <w:rPr>
          <w:rFonts w:ascii="Comic Sans MS" w:hAnsi="Comic Sans MS"/>
        </w:rPr>
        <w:t xml:space="preserve"> est de 410 €</w:t>
      </w:r>
      <w:r w:rsidR="00B521B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Calculez sa marge brute et en déduire le coût d’achat.</w:t>
      </w:r>
    </w:p>
    <w:p w:rsidR="00B521BE" w:rsidRPr="00B521BE" w:rsidRDefault="00B521BE">
      <w:pPr>
        <w:rPr>
          <w:rFonts w:ascii="Comic Sans MS" w:hAnsi="Comic Sans MS"/>
          <w:b/>
          <w:u w:val="single"/>
        </w:rPr>
      </w:pPr>
      <w:r w:rsidRPr="00B521BE">
        <w:rPr>
          <w:rFonts w:ascii="Comic Sans MS" w:hAnsi="Comic Sans MS"/>
          <w:b/>
          <w:u w:val="single"/>
        </w:rPr>
        <w:t>EXERCICE 4</w:t>
      </w:r>
    </w:p>
    <w:p w:rsidR="00B521BE" w:rsidRPr="002B663D" w:rsidRDefault="00B521BE">
      <w:pPr>
        <w:rPr>
          <w:rFonts w:ascii="Comic Sans MS" w:hAnsi="Comic Sans MS"/>
        </w:rPr>
      </w:pPr>
      <w:r>
        <w:rPr>
          <w:rFonts w:ascii="Comic Sans MS" w:hAnsi="Comic Sans MS"/>
        </w:rPr>
        <w:t>Le taux de marque d’un article est de 20%. Son prix d’achat hors taxe est de 320 €. Calculez sa marge brute et en déduire son prix de vente HT.</w:t>
      </w:r>
    </w:p>
    <w:p w:rsidR="002B663D" w:rsidRDefault="002B663D"/>
    <w:sectPr w:rsidR="002B663D" w:rsidSect="00A0262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3D" w:rsidRDefault="00240C3D" w:rsidP="002B663D">
      <w:pPr>
        <w:spacing w:after="0" w:line="240" w:lineRule="auto"/>
      </w:pPr>
      <w:r>
        <w:separator/>
      </w:r>
    </w:p>
  </w:endnote>
  <w:endnote w:type="continuationSeparator" w:id="0">
    <w:p w:rsidR="00240C3D" w:rsidRDefault="00240C3D" w:rsidP="002B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3D" w:rsidRDefault="00240C3D" w:rsidP="002B663D">
      <w:pPr>
        <w:spacing w:after="0" w:line="240" w:lineRule="auto"/>
      </w:pPr>
      <w:r>
        <w:separator/>
      </w:r>
    </w:p>
  </w:footnote>
  <w:footnote w:type="continuationSeparator" w:id="0">
    <w:p w:rsidR="00240C3D" w:rsidRDefault="00240C3D" w:rsidP="002B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3D" w:rsidRPr="003D5BE7" w:rsidRDefault="00B521BE" w:rsidP="002B663D">
    <w:pPr>
      <w:pStyle w:val="En-tte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 xml:space="preserve">Correction des exercices 32 à 38 + </w:t>
    </w:r>
    <w:r w:rsidR="002B663D" w:rsidRPr="003D5BE7">
      <w:rPr>
        <w:rFonts w:ascii="Comic Sans MS" w:hAnsi="Comic Sans MS"/>
        <w:sz w:val="28"/>
      </w:rPr>
      <w:t>Calculs commerciaux</w:t>
    </w:r>
    <w:r w:rsidR="003D5BE7">
      <w:rPr>
        <w:rFonts w:ascii="Comic Sans MS" w:hAnsi="Comic Sans MS"/>
        <w:sz w:val="28"/>
      </w:rPr>
      <w:t xml:space="preserve"> - rappels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737"/>
    <w:multiLevelType w:val="hybridMultilevel"/>
    <w:tmpl w:val="921E2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1E25"/>
    <w:multiLevelType w:val="hybridMultilevel"/>
    <w:tmpl w:val="3586BC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1708"/>
    <w:multiLevelType w:val="hybridMultilevel"/>
    <w:tmpl w:val="9B0A6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1934"/>
    <w:multiLevelType w:val="hybridMultilevel"/>
    <w:tmpl w:val="F6DCF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F13BD"/>
    <w:multiLevelType w:val="hybridMultilevel"/>
    <w:tmpl w:val="CC206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34033"/>
    <w:multiLevelType w:val="hybridMultilevel"/>
    <w:tmpl w:val="62361A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4C8"/>
    <w:multiLevelType w:val="hybridMultilevel"/>
    <w:tmpl w:val="6ACCA7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93355"/>
    <w:multiLevelType w:val="hybridMultilevel"/>
    <w:tmpl w:val="F4227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58"/>
    <w:rsid w:val="00240C3D"/>
    <w:rsid w:val="002B663D"/>
    <w:rsid w:val="00307058"/>
    <w:rsid w:val="003D5BE7"/>
    <w:rsid w:val="00887CAB"/>
    <w:rsid w:val="00A02624"/>
    <w:rsid w:val="00B521BE"/>
    <w:rsid w:val="00C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E2EC-859A-45A7-8ED5-FED5308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63D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2B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63D"/>
    <w:rPr>
      <w:noProof/>
    </w:rPr>
  </w:style>
  <w:style w:type="paragraph" w:styleId="Paragraphedeliste">
    <w:name w:val="List Paragraph"/>
    <w:basedOn w:val="Normal"/>
    <w:uiPriority w:val="34"/>
    <w:qFormat/>
    <w:rsid w:val="003D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1399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Stéciuk</dc:creator>
  <cp:keywords/>
  <dc:description/>
  <cp:lastModifiedBy>Théophile Stéciuk</cp:lastModifiedBy>
  <cp:revision>2</cp:revision>
  <dcterms:created xsi:type="dcterms:W3CDTF">2023-03-08T13:24:00Z</dcterms:created>
  <dcterms:modified xsi:type="dcterms:W3CDTF">2023-03-08T14:20:00Z</dcterms:modified>
</cp:coreProperties>
</file>