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D3" w:rsidRPr="00C000D3" w:rsidRDefault="00C000D3" w:rsidP="00C000D3">
      <w:pPr>
        <w:rPr>
          <w:rFonts w:cs="Arial"/>
          <w:b/>
          <w:bCs/>
          <w:szCs w:val="18"/>
          <w:u w:val="single"/>
        </w:rPr>
      </w:pPr>
      <w:r w:rsidRPr="00C000D3">
        <w:rPr>
          <w:rFonts w:cs="Arial"/>
          <w:b/>
          <w:bCs/>
          <w:szCs w:val="18"/>
          <w:u w:val="single"/>
        </w:rPr>
        <w:t>EXERCICE 1</w:t>
      </w:r>
      <w:r w:rsidRPr="00C000D3">
        <w:rPr>
          <w:rFonts w:cs="Arial"/>
          <w:b/>
          <w:bCs/>
          <w:szCs w:val="18"/>
          <w:u w:val="single"/>
        </w:rPr>
        <w:t xml:space="preserve"> (budget de trésorerie)</w:t>
      </w:r>
    </w:p>
    <w:p w:rsidR="00C000D3" w:rsidRPr="00C000D3" w:rsidRDefault="00C000D3" w:rsidP="00C000D3">
      <w:pPr>
        <w:rPr>
          <w:rFonts w:cs="Arial"/>
          <w:sz w:val="20"/>
          <w:szCs w:val="18"/>
        </w:rPr>
      </w:pPr>
      <w:r w:rsidRPr="00C000D3">
        <w:rPr>
          <w:rFonts w:cs="Arial"/>
          <w:sz w:val="20"/>
          <w:szCs w:val="18"/>
        </w:rPr>
        <w:t xml:space="preserve">L’entreprise Mironton, PME de 9 personnes, est spécialisée dans la vente à domicile de produits de beauté. </w:t>
      </w:r>
    </w:p>
    <w:p w:rsidR="00C000D3" w:rsidRPr="00C000D3" w:rsidRDefault="00C000D3" w:rsidP="00C000D3">
      <w:pPr>
        <w:rPr>
          <w:rFonts w:cs="Arial"/>
          <w:sz w:val="20"/>
          <w:szCs w:val="18"/>
        </w:rPr>
      </w:pPr>
      <w:r w:rsidRPr="00C000D3">
        <w:rPr>
          <w:rFonts w:cs="Arial"/>
          <w:sz w:val="20"/>
          <w:szCs w:val="18"/>
        </w:rPr>
        <w:t>Son dirigeant, M. Mironton, souhaite réorganiser son service commercial. Cette réorganisation s’accompagne d’investissements destinés à améliorer la productivité des commerciaux. Désireux de réunir les conditions du bon déroulement de cette opération d’investissement, M. Mironton souhaiterait analyser les répercussions sur la trésorerie de l’entreprise. M. Mironton veut chiffrer l’incidence de cette acquisition sur la trésorerie de son entreprise dans l’hypothèse où le règlement de la facture interviendrait par tiers les 15 février, 15 mars et 15 avril.</w:t>
      </w:r>
    </w:p>
    <w:p w:rsidR="00C000D3" w:rsidRPr="00C000D3" w:rsidRDefault="00C000D3" w:rsidP="00C000D3">
      <w:pPr>
        <w:rPr>
          <w:rFonts w:cs="Arial"/>
          <w:b/>
          <w:sz w:val="20"/>
          <w:szCs w:val="18"/>
          <w:u w:val="single"/>
        </w:rPr>
      </w:pPr>
      <w:r w:rsidRPr="00C000D3">
        <w:rPr>
          <w:rFonts w:cs="Arial"/>
          <w:b/>
          <w:sz w:val="20"/>
          <w:szCs w:val="18"/>
          <w:u w:val="single"/>
        </w:rPr>
        <w:t>Travail à faire :</w:t>
      </w:r>
    </w:p>
    <w:p w:rsidR="00C000D3" w:rsidRPr="00C000D3" w:rsidRDefault="00C000D3" w:rsidP="00CF30F8">
      <w:pPr>
        <w:numPr>
          <w:ilvl w:val="0"/>
          <w:numId w:val="1"/>
        </w:numPr>
        <w:spacing w:after="0" w:line="276" w:lineRule="auto"/>
        <w:contextualSpacing/>
        <w:rPr>
          <w:rFonts w:cs="Arial"/>
          <w:sz w:val="20"/>
          <w:szCs w:val="18"/>
        </w:rPr>
      </w:pPr>
      <w:r w:rsidRPr="00C000D3">
        <w:rPr>
          <w:rFonts w:cs="Arial"/>
          <w:sz w:val="20"/>
          <w:szCs w:val="18"/>
        </w:rPr>
        <w:t>A l’aide de l’annexe, présentez le budget de trésorerie des trois premiers mois de l’année N+1</w:t>
      </w:r>
    </w:p>
    <w:p w:rsidR="00C000D3" w:rsidRPr="00C000D3" w:rsidRDefault="00C000D3" w:rsidP="00CF30F8">
      <w:pPr>
        <w:numPr>
          <w:ilvl w:val="0"/>
          <w:numId w:val="1"/>
        </w:numPr>
        <w:spacing w:after="0" w:line="276" w:lineRule="auto"/>
        <w:contextualSpacing/>
        <w:rPr>
          <w:rFonts w:cs="Arial"/>
          <w:sz w:val="20"/>
          <w:szCs w:val="18"/>
        </w:rPr>
      </w:pPr>
      <w:r w:rsidRPr="00C000D3">
        <w:rPr>
          <w:rFonts w:cs="Arial"/>
          <w:sz w:val="20"/>
          <w:szCs w:val="18"/>
        </w:rPr>
        <w:t>Commentez l’évolution prévisible des disponibilités et conseillez M. Mironton quant à la gestion de sa trésorerie au cours du premier trimestre N+1</w:t>
      </w:r>
    </w:p>
    <w:p w:rsidR="00C000D3" w:rsidRDefault="00C000D3" w:rsidP="00C000D3">
      <w:pPr>
        <w:jc w:val="center"/>
        <w:rPr>
          <w:rFonts w:cs="Arial"/>
          <w:b/>
          <w:bCs/>
          <w:sz w:val="18"/>
          <w:szCs w:val="18"/>
          <w:u w:val="single"/>
        </w:rPr>
      </w:pPr>
    </w:p>
    <w:p w:rsidR="00C000D3" w:rsidRPr="002A6F9D" w:rsidRDefault="00C000D3" w:rsidP="00C000D3">
      <w:pPr>
        <w:jc w:val="center"/>
        <w:rPr>
          <w:rFonts w:cs="Arial"/>
          <w:b/>
          <w:bCs/>
          <w:sz w:val="18"/>
          <w:szCs w:val="18"/>
          <w:u w:val="single"/>
        </w:rPr>
      </w:pPr>
      <w:r w:rsidRPr="002A6F9D">
        <w:rPr>
          <w:rFonts w:cs="Arial"/>
          <w:b/>
          <w:bCs/>
          <w:sz w:val="18"/>
          <w:szCs w:val="18"/>
          <w:u w:val="single"/>
        </w:rPr>
        <w:t>ANNEXE</w:t>
      </w:r>
    </w:p>
    <w:p w:rsidR="00C000D3" w:rsidRPr="00B351B9" w:rsidRDefault="00C000D3" w:rsidP="00C000D3">
      <w:pPr>
        <w:rPr>
          <w:rFonts w:cs="Arial"/>
          <w:b/>
          <w:bCs/>
          <w:sz w:val="18"/>
          <w:szCs w:val="18"/>
          <w:u w:val="single"/>
        </w:rPr>
      </w:pPr>
      <w:r w:rsidRPr="002A6F9D">
        <w:rPr>
          <w:rFonts w:cs="Arial"/>
          <w:b/>
          <w:bCs/>
          <w:sz w:val="18"/>
          <w:szCs w:val="18"/>
          <w:u w:val="single"/>
        </w:rPr>
        <w:t>Extrait de la balance des comptes au 31/12/N (en €)</w:t>
      </w:r>
    </w:p>
    <w:p w:rsidR="00C000D3" w:rsidRPr="002A6F9D" w:rsidRDefault="00C000D3" w:rsidP="00CF30F8">
      <w:pPr>
        <w:numPr>
          <w:ilvl w:val="0"/>
          <w:numId w:val="2"/>
        </w:numPr>
        <w:spacing w:after="0" w:line="276" w:lineRule="auto"/>
        <w:contextualSpacing/>
        <w:rPr>
          <w:rFonts w:cs="Arial"/>
          <w:sz w:val="18"/>
          <w:szCs w:val="18"/>
        </w:rPr>
      </w:pPr>
      <w:r w:rsidRPr="002A6F9D">
        <w:rPr>
          <w:rFonts w:cs="Arial"/>
          <w:sz w:val="18"/>
          <w:szCs w:val="18"/>
        </w:rPr>
        <w:t>Fournisseurs de biens et de services</w:t>
      </w:r>
      <w:r w:rsidRPr="002A6F9D">
        <w:rPr>
          <w:rFonts w:cs="Arial"/>
          <w:sz w:val="18"/>
          <w:szCs w:val="18"/>
        </w:rPr>
        <w:tab/>
      </w:r>
      <w:r w:rsidRPr="002A6F9D">
        <w:rPr>
          <w:rFonts w:cs="Arial"/>
          <w:sz w:val="18"/>
          <w:szCs w:val="18"/>
        </w:rPr>
        <w:tab/>
      </w:r>
      <w:r>
        <w:rPr>
          <w:rFonts w:cs="Arial"/>
          <w:sz w:val="18"/>
          <w:szCs w:val="18"/>
        </w:rPr>
        <w:tab/>
      </w:r>
      <w:r w:rsidRPr="002A6F9D">
        <w:rPr>
          <w:rFonts w:cs="Arial"/>
          <w:sz w:val="18"/>
          <w:szCs w:val="18"/>
        </w:rPr>
        <w:t>200 000</w:t>
      </w:r>
    </w:p>
    <w:p w:rsidR="00C000D3" w:rsidRPr="002A6F9D" w:rsidRDefault="00C000D3" w:rsidP="00CF30F8">
      <w:pPr>
        <w:numPr>
          <w:ilvl w:val="0"/>
          <w:numId w:val="2"/>
        </w:numPr>
        <w:spacing w:after="0" w:line="276" w:lineRule="auto"/>
        <w:contextualSpacing/>
        <w:rPr>
          <w:rFonts w:cs="Arial"/>
          <w:sz w:val="18"/>
          <w:szCs w:val="18"/>
        </w:rPr>
      </w:pPr>
      <w:r w:rsidRPr="002A6F9D">
        <w:rPr>
          <w:rFonts w:cs="Arial"/>
          <w:sz w:val="18"/>
          <w:szCs w:val="18"/>
        </w:rPr>
        <w:t>Clients</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460 000</w:t>
      </w:r>
    </w:p>
    <w:p w:rsidR="00C000D3" w:rsidRPr="002A6F9D" w:rsidRDefault="00C000D3" w:rsidP="00CF30F8">
      <w:pPr>
        <w:numPr>
          <w:ilvl w:val="0"/>
          <w:numId w:val="2"/>
        </w:numPr>
        <w:spacing w:after="0" w:line="276" w:lineRule="auto"/>
        <w:contextualSpacing/>
        <w:rPr>
          <w:rFonts w:cs="Arial"/>
          <w:sz w:val="18"/>
          <w:szCs w:val="18"/>
        </w:rPr>
      </w:pPr>
      <w:r w:rsidRPr="002A6F9D">
        <w:rPr>
          <w:rFonts w:cs="Arial"/>
          <w:sz w:val="18"/>
          <w:szCs w:val="18"/>
        </w:rPr>
        <w:t>Sécurité sociale et autres organismes sociaux</w:t>
      </w:r>
      <w:r w:rsidRPr="002A6F9D">
        <w:rPr>
          <w:rFonts w:cs="Arial"/>
          <w:sz w:val="18"/>
          <w:szCs w:val="18"/>
        </w:rPr>
        <w:tab/>
      </w:r>
      <w:r>
        <w:rPr>
          <w:rFonts w:cs="Arial"/>
          <w:sz w:val="18"/>
          <w:szCs w:val="18"/>
        </w:rPr>
        <w:tab/>
      </w:r>
      <w:r w:rsidRPr="002A6F9D">
        <w:rPr>
          <w:rFonts w:cs="Arial"/>
          <w:sz w:val="18"/>
          <w:szCs w:val="18"/>
        </w:rPr>
        <w:t>75 000</w:t>
      </w:r>
    </w:p>
    <w:p w:rsidR="00C000D3" w:rsidRPr="002A6F9D" w:rsidRDefault="00C000D3" w:rsidP="00CF30F8">
      <w:pPr>
        <w:numPr>
          <w:ilvl w:val="0"/>
          <w:numId w:val="2"/>
        </w:numPr>
        <w:spacing w:after="0" w:line="276" w:lineRule="auto"/>
        <w:contextualSpacing/>
        <w:rPr>
          <w:rFonts w:cs="Arial"/>
          <w:sz w:val="18"/>
          <w:szCs w:val="18"/>
        </w:rPr>
      </w:pPr>
      <w:r w:rsidRPr="002A6F9D">
        <w:rPr>
          <w:rFonts w:cs="Arial"/>
          <w:sz w:val="18"/>
          <w:szCs w:val="18"/>
        </w:rPr>
        <w:t>TVA à décaisser</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Pr>
          <w:rFonts w:cs="Arial"/>
          <w:sz w:val="18"/>
          <w:szCs w:val="18"/>
        </w:rPr>
        <w:tab/>
      </w:r>
      <w:r w:rsidRPr="002A6F9D">
        <w:rPr>
          <w:rFonts w:cs="Arial"/>
          <w:sz w:val="18"/>
          <w:szCs w:val="18"/>
        </w:rPr>
        <w:t>31 360</w:t>
      </w:r>
    </w:p>
    <w:p w:rsidR="00C000D3" w:rsidRPr="002A6F9D" w:rsidRDefault="00C000D3" w:rsidP="00CF30F8">
      <w:pPr>
        <w:numPr>
          <w:ilvl w:val="0"/>
          <w:numId w:val="2"/>
        </w:numPr>
        <w:spacing w:after="0" w:line="276" w:lineRule="auto"/>
        <w:contextualSpacing/>
        <w:rPr>
          <w:rFonts w:cs="Arial"/>
          <w:sz w:val="18"/>
          <w:szCs w:val="18"/>
        </w:rPr>
      </w:pPr>
      <w:r w:rsidRPr="002A6F9D">
        <w:rPr>
          <w:rFonts w:cs="Arial"/>
          <w:sz w:val="18"/>
          <w:szCs w:val="18"/>
        </w:rPr>
        <w:t>Banque</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30 000</w:t>
      </w:r>
    </w:p>
    <w:p w:rsidR="00C000D3" w:rsidRPr="002A6F9D" w:rsidRDefault="00C000D3" w:rsidP="00CF30F8">
      <w:pPr>
        <w:numPr>
          <w:ilvl w:val="0"/>
          <w:numId w:val="2"/>
        </w:numPr>
        <w:spacing w:after="0" w:line="276" w:lineRule="auto"/>
        <w:contextualSpacing/>
        <w:rPr>
          <w:rFonts w:cs="Arial"/>
          <w:sz w:val="18"/>
          <w:szCs w:val="18"/>
        </w:rPr>
      </w:pPr>
      <w:r w:rsidRPr="002A6F9D">
        <w:rPr>
          <w:rFonts w:cs="Arial"/>
          <w:sz w:val="18"/>
          <w:szCs w:val="18"/>
        </w:rPr>
        <w:t>Caisse</w:t>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r>
      <w:r w:rsidRPr="002A6F9D">
        <w:rPr>
          <w:rFonts w:cs="Arial"/>
          <w:sz w:val="18"/>
          <w:szCs w:val="18"/>
        </w:rPr>
        <w:tab/>
        <w:t>4000</w:t>
      </w:r>
    </w:p>
    <w:p w:rsidR="00C000D3" w:rsidRPr="002A6F9D" w:rsidRDefault="00C000D3" w:rsidP="00C000D3">
      <w:pPr>
        <w:autoSpaceDE w:val="0"/>
        <w:autoSpaceDN w:val="0"/>
        <w:adjustRightInd w:val="0"/>
        <w:spacing w:line="240" w:lineRule="auto"/>
        <w:rPr>
          <w:rFonts w:cs="Arial"/>
          <w:color w:val="000000"/>
          <w:sz w:val="18"/>
          <w:szCs w:val="18"/>
        </w:rPr>
      </w:pPr>
    </w:p>
    <w:p w:rsidR="00C000D3" w:rsidRPr="00C000D3" w:rsidRDefault="00C000D3" w:rsidP="00C000D3">
      <w:pPr>
        <w:autoSpaceDE w:val="0"/>
        <w:autoSpaceDN w:val="0"/>
        <w:adjustRightInd w:val="0"/>
        <w:spacing w:line="240" w:lineRule="auto"/>
        <w:outlineLvl w:val="0"/>
        <w:rPr>
          <w:rFonts w:cs="Arial"/>
          <w:b/>
          <w:bCs/>
          <w:szCs w:val="18"/>
          <w:u w:val="single"/>
        </w:rPr>
      </w:pPr>
      <w:r w:rsidRPr="00C000D3">
        <w:rPr>
          <w:rFonts w:cs="Arial"/>
          <w:b/>
          <w:bCs/>
          <w:szCs w:val="18"/>
          <w:u w:val="single"/>
        </w:rPr>
        <w:t>Prévisions</w:t>
      </w:r>
    </w:p>
    <w:p w:rsidR="00C000D3" w:rsidRDefault="00C000D3" w:rsidP="00CF30F8">
      <w:pPr>
        <w:pStyle w:val="Paragraphedeliste"/>
        <w:numPr>
          <w:ilvl w:val="0"/>
          <w:numId w:val="11"/>
        </w:numPr>
        <w:autoSpaceDE w:val="0"/>
        <w:autoSpaceDN w:val="0"/>
        <w:adjustRightInd w:val="0"/>
        <w:spacing w:line="240" w:lineRule="auto"/>
        <w:outlineLvl w:val="0"/>
        <w:rPr>
          <w:rFonts w:cs="Arial"/>
          <w:sz w:val="18"/>
          <w:szCs w:val="18"/>
        </w:rPr>
      </w:pPr>
      <w:r w:rsidRPr="00B351B9">
        <w:rPr>
          <w:rFonts w:cs="Arial"/>
          <w:sz w:val="18"/>
          <w:szCs w:val="18"/>
        </w:rPr>
        <w:t>Les ventes s’élèveraient à 400 000 € HT pour le mois de janvier, à 470 000 € HT en février puis à 500 000 € HT les mois suivants.</w:t>
      </w:r>
    </w:p>
    <w:p w:rsidR="00C000D3" w:rsidRDefault="00C000D3" w:rsidP="00CF30F8">
      <w:pPr>
        <w:pStyle w:val="Paragraphedeliste"/>
        <w:numPr>
          <w:ilvl w:val="0"/>
          <w:numId w:val="11"/>
        </w:numPr>
        <w:autoSpaceDE w:val="0"/>
        <w:autoSpaceDN w:val="0"/>
        <w:adjustRightInd w:val="0"/>
        <w:spacing w:line="240" w:lineRule="auto"/>
        <w:outlineLvl w:val="0"/>
        <w:rPr>
          <w:rFonts w:cs="Arial"/>
          <w:sz w:val="18"/>
          <w:szCs w:val="18"/>
        </w:rPr>
      </w:pPr>
      <w:r w:rsidRPr="00B351B9">
        <w:rPr>
          <w:rFonts w:cs="Arial"/>
          <w:sz w:val="18"/>
          <w:szCs w:val="18"/>
        </w:rPr>
        <w:t>Les achats s’élèveraient à 220 000 € HT en janvier, puis progresseraient de 5 % par mois.</w:t>
      </w:r>
    </w:p>
    <w:p w:rsidR="00C000D3" w:rsidRDefault="00C000D3" w:rsidP="00CF30F8">
      <w:pPr>
        <w:pStyle w:val="Paragraphedeliste"/>
        <w:numPr>
          <w:ilvl w:val="0"/>
          <w:numId w:val="11"/>
        </w:numPr>
        <w:autoSpaceDE w:val="0"/>
        <w:autoSpaceDN w:val="0"/>
        <w:adjustRightInd w:val="0"/>
        <w:spacing w:line="240" w:lineRule="auto"/>
        <w:outlineLvl w:val="0"/>
        <w:rPr>
          <w:rFonts w:cs="Arial"/>
          <w:sz w:val="18"/>
          <w:szCs w:val="18"/>
        </w:rPr>
      </w:pPr>
      <w:r w:rsidRPr="00B351B9">
        <w:rPr>
          <w:rFonts w:cs="Arial"/>
          <w:sz w:val="18"/>
          <w:szCs w:val="18"/>
        </w:rPr>
        <w:t>Les charges de personnel représenteraient 180 000 € par mois. Ce poste serait stable au premier trimestre N+1.</w:t>
      </w:r>
    </w:p>
    <w:p w:rsidR="00C000D3" w:rsidRDefault="00C000D3" w:rsidP="00CF30F8">
      <w:pPr>
        <w:pStyle w:val="Paragraphedeliste"/>
        <w:numPr>
          <w:ilvl w:val="0"/>
          <w:numId w:val="11"/>
        </w:numPr>
        <w:autoSpaceDE w:val="0"/>
        <w:autoSpaceDN w:val="0"/>
        <w:adjustRightInd w:val="0"/>
        <w:spacing w:line="240" w:lineRule="auto"/>
        <w:outlineLvl w:val="0"/>
        <w:rPr>
          <w:rFonts w:cs="Arial"/>
          <w:sz w:val="18"/>
          <w:szCs w:val="18"/>
        </w:rPr>
      </w:pPr>
      <w:r w:rsidRPr="00B351B9">
        <w:rPr>
          <w:rFonts w:cs="Arial"/>
          <w:sz w:val="18"/>
          <w:szCs w:val="18"/>
        </w:rPr>
        <w:t>Les fournisseurs de biens et de services sont payés à 30 jours fin de mois.</w:t>
      </w:r>
    </w:p>
    <w:p w:rsidR="00C000D3" w:rsidRDefault="00C000D3" w:rsidP="00CF30F8">
      <w:pPr>
        <w:pStyle w:val="Paragraphedeliste"/>
        <w:numPr>
          <w:ilvl w:val="0"/>
          <w:numId w:val="11"/>
        </w:numPr>
        <w:autoSpaceDE w:val="0"/>
        <w:autoSpaceDN w:val="0"/>
        <w:adjustRightInd w:val="0"/>
        <w:spacing w:line="240" w:lineRule="auto"/>
        <w:outlineLvl w:val="0"/>
        <w:rPr>
          <w:rFonts w:cs="Arial"/>
          <w:sz w:val="18"/>
          <w:szCs w:val="18"/>
        </w:rPr>
      </w:pPr>
      <w:r w:rsidRPr="00B351B9">
        <w:rPr>
          <w:rFonts w:cs="Arial"/>
          <w:sz w:val="18"/>
          <w:szCs w:val="18"/>
        </w:rPr>
        <w:t>Les clients règlent à 30 jours fin de mois.</w:t>
      </w:r>
    </w:p>
    <w:p w:rsidR="00C000D3" w:rsidRDefault="00C000D3" w:rsidP="00CF30F8">
      <w:pPr>
        <w:pStyle w:val="Paragraphedeliste"/>
        <w:numPr>
          <w:ilvl w:val="0"/>
          <w:numId w:val="11"/>
        </w:numPr>
        <w:autoSpaceDE w:val="0"/>
        <w:autoSpaceDN w:val="0"/>
        <w:adjustRightInd w:val="0"/>
        <w:spacing w:line="240" w:lineRule="auto"/>
        <w:outlineLvl w:val="0"/>
        <w:rPr>
          <w:rFonts w:cs="Arial"/>
          <w:sz w:val="18"/>
          <w:szCs w:val="18"/>
        </w:rPr>
      </w:pPr>
      <w:r w:rsidRPr="00B351B9">
        <w:rPr>
          <w:rFonts w:cs="Arial"/>
          <w:sz w:val="18"/>
          <w:szCs w:val="18"/>
        </w:rPr>
        <w:t>Les charges sociales concernant les salaires du quatrième trimestre N-1 seront payées le 15 janvier.</w:t>
      </w:r>
    </w:p>
    <w:p w:rsidR="00C000D3" w:rsidRPr="00B351B9" w:rsidRDefault="00C000D3" w:rsidP="00CF30F8">
      <w:pPr>
        <w:pStyle w:val="Paragraphedeliste"/>
        <w:numPr>
          <w:ilvl w:val="0"/>
          <w:numId w:val="11"/>
        </w:numPr>
        <w:autoSpaceDE w:val="0"/>
        <w:autoSpaceDN w:val="0"/>
        <w:adjustRightInd w:val="0"/>
        <w:spacing w:line="240" w:lineRule="auto"/>
        <w:outlineLvl w:val="0"/>
        <w:rPr>
          <w:rFonts w:cs="Arial"/>
          <w:sz w:val="18"/>
          <w:szCs w:val="18"/>
        </w:rPr>
      </w:pPr>
      <w:r w:rsidRPr="00B351B9">
        <w:rPr>
          <w:rFonts w:cs="Arial"/>
          <w:sz w:val="18"/>
          <w:szCs w:val="18"/>
        </w:rPr>
        <w:t xml:space="preserve">La </w:t>
      </w:r>
      <w:r>
        <w:rPr>
          <w:rFonts w:cs="Arial"/>
          <w:sz w:val="18"/>
          <w:szCs w:val="18"/>
        </w:rPr>
        <w:t>TVA est calculée au taux de 20</w:t>
      </w:r>
      <w:r w:rsidRPr="00B351B9">
        <w:rPr>
          <w:rFonts w:cs="Arial"/>
          <w:sz w:val="18"/>
          <w:szCs w:val="18"/>
        </w:rPr>
        <w:t xml:space="preserve"> %.</w:t>
      </w:r>
    </w:p>
    <w:p w:rsidR="00C000D3" w:rsidRPr="002A6F9D" w:rsidRDefault="00C000D3" w:rsidP="00C000D3">
      <w:pPr>
        <w:autoSpaceDE w:val="0"/>
        <w:autoSpaceDN w:val="0"/>
        <w:adjustRightInd w:val="0"/>
        <w:spacing w:line="240" w:lineRule="auto"/>
        <w:outlineLvl w:val="0"/>
        <w:rPr>
          <w:rFonts w:cs="Arial"/>
          <w:sz w:val="18"/>
          <w:szCs w:val="18"/>
        </w:rPr>
      </w:pPr>
      <w:r w:rsidRPr="002A6F9D">
        <w:rPr>
          <w:rFonts w:cs="Arial"/>
          <w:sz w:val="18"/>
          <w:szCs w:val="18"/>
        </w:rPr>
        <w:t>On estime la TVA à décaisser à 20 477 € au titre du mois de janvier, 49 234 € au titre du mois de février et 53 035 € au titre du mois de mars ; ces valeurs prennent en compte l’incidence des acquisitions d’immobilisations prévues.</w:t>
      </w:r>
    </w:p>
    <w:p w:rsidR="00C000D3" w:rsidRPr="002A6F9D" w:rsidRDefault="00C000D3" w:rsidP="00C000D3">
      <w:pPr>
        <w:autoSpaceDE w:val="0"/>
        <w:autoSpaceDN w:val="0"/>
        <w:adjustRightInd w:val="0"/>
        <w:spacing w:line="240" w:lineRule="auto"/>
        <w:outlineLvl w:val="0"/>
        <w:rPr>
          <w:rFonts w:cs="Arial"/>
          <w:sz w:val="18"/>
          <w:szCs w:val="18"/>
        </w:rPr>
      </w:pPr>
      <w:r w:rsidRPr="002A6F9D">
        <w:rPr>
          <w:rFonts w:cs="Arial"/>
          <w:sz w:val="18"/>
          <w:szCs w:val="18"/>
        </w:rPr>
        <w:t>L’investissement prévu entraînera un décaissement de 32 400 € en février et 32 400 € en mars.</w:t>
      </w:r>
    </w:p>
    <w:p w:rsidR="00C000D3" w:rsidRPr="002A6F9D" w:rsidRDefault="00C000D3" w:rsidP="00C000D3">
      <w:pPr>
        <w:autoSpaceDE w:val="0"/>
        <w:autoSpaceDN w:val="0"/>
        <w:adjustRightInd w:val="0"/>
        <w:spacing w:line="240" w:lineRule="auto"/>
        <w:outlineLvl w:val="0"/>
        <w:rPr>
          <w:rFonts w:cs="Arial"/>
          <w:b/>
          <w:bCs/>
          <w:sz w:val="18"/>
          <w:szCs w:val="18"/>
          <w:u w:val="single"/>
        </w:rPr>
      </w:pPr>
    </w:p>
    <w:p w:rsidR="00C000D3" w:rsidRDefault="00C000D3" w:rsidP="00C000D3">
      <w:pPr>
        <w:autoSpaceDE w:val="0"/>
        <w:autoSpaceDN w:val="0"/>
        <w:adjustRightInd w:val="0"/>
        <w:spacing w:line="240" w:lineRule="auto"/>
        <w:outlineLvl w:val="0"/>
        <w:rPr>
          <w:rFonts w:cs="Arial"/>
          <w:b/>
          <w:bCs/>
          <w:sz w:val="18"/>
          <w:szCs w:val="18"/>
          <w:u w:val="single"/>
        </w:rPr>
      </w:pPr>
    </w:p>
    <w:p w:rsidR="00C000D3" w:rsidRDefault="00C000D3" w:rsidP="00C000D3">
      <w:pPr>
        <w:autoSpaceDE w:val="0"/>
        <w:autoSpaceDN w:val="0"/>
        <w:adjustRightInd w:val="0"/>
        <w:spacing w:line="240" w:lineRule="auto"/>
        <w:outlineLvl w:val="0"/>
        <w:rPr>
          <w:rFonts w:cs="Arial"/>
          <w:b/>
          <w:bCs/>
          <w:sz w:val="18"/>
          <w:szCs w:val="18"/>
          <w:u w:val="single"/>
        </w:rPr>
      </w:pPr>
    </w:p>
    <w:p w:rsidR="00C000D3" w:rsidRDefault="00C000D3" w:rsidP="00C000D3">
      <w:pPr>
        <w:autoSpaceDE w:val="0"/>
        <w:autoSpaceDN w:val="0"/>
        <w:adjustRightInd w:val="0"/>
        <w:spacing w:line="240" w:lineRule="auto"/>
        <w:outlineLvl w:val="0"/>
        <w:rPr>
          <w:rFonts w:cs="Arial"/>
          <w:b/>
          <w:bCs/>
          <w:sz w:val="18"/>
          <w:szCs w:val="18"/>
          <w:u w:val="single"/>
        </w:rPr>
      </w:pPr>
    </w:p>
    <w:p w:rsidR="00C000D3" w:rsidRDefault="00C000D3" w:rsidP="00C000D3">
      <w:pPr>
        <w:autoSpaceDE w:val="0"/>
        <w:autoSpaceDN w:val="0"/>
        <w:adjustRightInd w:val="0"/>
        <w:spacing w:line="240" w:lineRule="auto"/>
        <w:outlineLvl w:val="0"/>
        <w:rPr>
          <w:rFonts w:cs="Arial"/>
          <w:b/>
          <w:bCs/>
          <w:sz w:val="18"/>
          <w:szCs w:val="18"/>
          <w:u w:val="single"/>
        </w:rPr>
      </w:pPr>
    </w:p>
    <w:p w:rsidR="00C000D3" w:rsidRDefault="00C000D3" w:rsidP="00C000D3">
      <w:pPr>
        <w:autoSpaceDE w:val="0"/>
        <w:autoSpaceDN w:val="0"/>
        <w:adjustRightInd w:val="0"/>
        <w:spacing w:line="240" w:lineRule="auto"/>
        <w:outlineLvl w:val="0"/>
        <w:rPr>
          <w:rFonts w:cs="Arial"/>
          <w:b/>
          <w:bCs/>
          <w:sz w:val="18"/>
          <w:szCs w:val="18"/>
          <w:u w:val="single"/>
        </w:rPr>
      </w:pPr>
    </w:p>
    <w:p w:rsidR="00C000D3" w:rsidRDefault="00C000D3" w:rsidP="00C000D3">
      <w:pPr>
        <w:rPr>
          <w:rFonts w:ascii="Calibri" w:hAnsi="Calibri" w:cs="Calibri"/>
          <w:b/>
          <w:sz w:val="18"/>
          <w:szCs w:val="28"/>
          <w:u w:val="single"/>
        </w:rPr>
      </w:pPr>
    </w:p>
    <w:p w:rsidR="00C000D3" w:rsidRDefault="00C000D3" w:rsidP="00C000D3">
      <w:pPr>
        <w:rPr>
          <w:rFonts w:ascii="Calibri" w:hAnsi="Calibri" w:cs="Calibri"/>
          <w:b/>
          <w:sz w:val="18"/>
          <w:szCs w:val="28"/>
          <w:u w:val="single"/>
        </w:rPr>
      </w:pPr>
    </w:p>
    <w:p w:rsidR="00C000D3" w:rsidRPr="00C000D3" w:rsidRDefault="00C000D3" w:rsidP="00C000D3">
      <w:pPr>
        <w:rPr>
          <w:rFonts w:ascii="Calibri" w:hAnsi="Calibri" w:cs="Calibri"/>
          <w:b/>
          <w:szCs w:val="28"/>
          <w:u w:val="single"/>
        </w:rPr>
      </w:pPr>
      <w:bookmarkStart w:id="0" w:name="_GoBack"/>
      <w:bookmarkEnd w:id="0"/>
      <w:r w:rsidRPr="00C000D3">
        <w:rPr>
          <w:rFonts w:ascii="Calibri" w:hAnsi="Calibri" w:cs="Calibri"/>
          <w:b/>
          <w:szCs w:val="28"/>
          <w:u w:val="single"/>
        </w:rPr>
        <w:t>EXERCICE 2</w:t>
      </w:r>
    </w:p>
    <w:p w:rsidR="00C000D3" w:rsidRPr="00C000D3" w:rsidRDefault="00C000D3" w:rsidP="00C000D3">
      <w:pPr>
        <w:rPr>
          <w:rFonts w:ascii="Calibri" w:hAnsi="Calibri" w:cs="Calibri"/>
          <w:sz w:val="20"/>
          <w:szCs w:val="28"/>
        </w:rPr>
      </w:pPr>
      <w:r w:rsidRPr="00C000D3">
        <w:rPr>
          <w:rFonts w:ascii="Calibri" w:hAnsi="Calibri" w:cs="Calibri"/>
          <w:sz w:val="20"/>
          <w:szCs w:val="28"/>
        </w:rPr>
        <w:t>L’entreprise Look fabrique des accessoires de navigation pour bateaux de plaisance et a une activité fortement saisonnière. Ses fournisseurs et ses clients sont exclusivement situés en France. L’entreprise Look a systématiquement depuis plusieurs années des problèmes de trésorerie ; aussi, on vous demande d’établir au 31 décembre N, les prévisions de trésorerie pour le 1</w:t>
      </w:r>
      <w:r w:rsidRPr="00C000D3">
        <w:rPr>
          <w:rFonts w:ascii="Calibri" w:hAnsi="Calibri" w:cs="Calibri"/>
          <w:sz w:val="20"/>
          <w:szCs w:val="28"/>
          <w:vertAlign w:val="superscript"/>
        </w:rPr>
        <w:t>er</w:t>
      </w:r>
      <w:r w:rsidRPr="00C000D3">
        <w:rPr>
          <w:rFonts w:ascii="Calibri" w:hAnsi="Calibri" w:cs="Calibri"/>
          <w:sz w:val="20"/>
          <w:szCs w:val="28"/>
        </w:rPr>
        <w:t xml:space="preserve"> semestre N+1, à partir des informations ci-dessous.</w:t>
      </w:r>
    </w:p>
    <w:p w:rsidR="00C000D3" w:rsidRPr="00693619" w:rsidRDefault="00C000D3" w:rsidP="00C000D3">
      <w:pPr>
        <w:jc w:val="center"/>
        <w:rPr>
          <w:rFonts w:ascii="Calibri" w:hAnsi="Calibri" w:cs="Calibri"/>
          <w:b/>
          <w:sz w:val="18"/>
          <w:szCs w:val="28"/>
          <w:u w:val="single"/>
        </w:rPr>
      </w:pPr>
      <w:r w:rsidRPr="00693619">
        <w:rPr>
          <w:rFonts w:ascii="Calibri" w:hAnsi="Calibri" w:cs="Calibri"/>
          <w:b/>
          <w:sz w:val="18"/>
          <w:szCs w:val="28"/>
          <w:u w:val="single"/>
        </w:rPr>
        <w:t>Bilan simplifié au 31/12/N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026"/>
        <w:gridCol w:w="2823"/>
        <w:gridCol w:w="1026"/>
      </w:tblGrid>
      <w:tr w:rsidR="00C000D3" w:rsidRPr="000620C9" w:rsidTr="00BE6E61">
        <w:trPr>
          <w:trHeight w:hRule="exact" w:val="227"/>
          <w:jc w:val="center"/>
        </w:trPr>
        <w:tc>
          <w:tcPr>
            <w:tcW w:w="2491"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ACTIF</w:t>
            </w:r>
          </w:p>
        </w:tc>
        <w:tc>
          <w:tcPr>
            <w:tcW w:w="1026"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Montant</w:t>
            </w:r>
          </w:p>
        </w:tc>
        <w:tc>
          <w:tcPr>
            <w:tcW w:w="2823"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PASSIF</w:t>
            </w:r>
          </w:p>
        </w:tc>
        <w:tc>
          <w:tcPr>
            <w:tcW w:w="1026"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Montant</w:t>
            </w:r>
          </w:p>
        </w:tc>
      </w:tr>
      <w:tr w:rsidR="00C000D3" w:rsidRPr="000620C9" w:rsidTr="00BE6E61">
        <w:trPr>
          <w:trHeight w:hRule="exact" w:val="227"/>
          <w:jc w:val="center"/>
        </w:trPr>
        <w:tc>
          <w:tcPr>
            <w:tcW w:w="2491" w:type="dxa"/>
            <w:shd w:val="clear" w:color="auto" w:fill="auto"/>
          </w:tcPr>
          <w:p w:rsidR="00C000D3" w:rsidRPr="000620C9" w:rsidRDefault="00C000D3" w:rsidP="00BE6E61">
            <w:pPr>
              <w:rPr>
                <w:rFonts w:ascii="Calibri" w:hAnsi="Calibri" w:cs="Calibri"/>
                <w:sz w:val="18"/>
                <w:szCs w:val="28"/>
              </w:rPr>
            </w:pPr>
            <w:r w:rsidRPr="000620C9">
              <w:rPr>
                <w:rFonts w:ascii="Calibri" w:hAnsi="Calibri" w:cs="Calibri"/>
                <w:sz w:val="18"/>
                <w:szCs w:val="28"/>
              </w:rPr>
              <w:t>Immobilisations</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1 100 000</w:t>
            </w:r>
          </w:p>
        </w:tc>
        <w:tc>
          <w:tcPr>
            <w:tcW w:w="2823" w:type="dxa"/>
            <w:shd w:val="clear" w:color="auto" w:fill="auto"/>
          </w:tcPr>
          <w:p w:rsidR="00C000D3" w:rsidRPr="000620C9" w:rsidRDefault="00C000D3" w:rsidP="00BE6E61">
            <w:pPr>
              <w:rPr>
                <w:rFonts w:ascii="Calibri" w:hAnsi="Calibri" w:cs="Calibri"/>
                <w:sz w:val="18"/>
                <w:szCs w:val="28"/>
              </w:rPr>
            </w:pPr>
            <w:r w:rsidRPr="000620C9">
              <w:rPr>
                <w:rFonts w:ascii="Calibri" w:hAnsi="Calibri" w:cs="Calibri"/>
                <w:sz w:val="18"/>
                <w:szCs w:val="28"/>
              </w:rPr>
              <w:t>Capitaux propres</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1 065 000</w:t>
            </w:r>
          </w:p>
        </w:tc>
      </w:tr>
      <w:tr w:rsidR="00C000D3" w:rsidRPr="000620C9" w:rsidTr="00BE6E61">
        <w:trPr>
          <w:trHeight w:hRule="exact" w:val="227"/>
          <w:jc w:val="center"/>
        </w:trPr>
        <w:tc>
          <w:tcPr>
            <w:tcW w:w="2491" w:type="dxa"/>
            <w:shd w:val="clear" w:color="auto" w:fill="auto"/>
          </w:tcPr>
          <w:p w:rsidR="00C000D3" w:rsidRPr="000620C9" w:rsidRDefault="00C000D3" w:rsidP="00BE6E61">
            <w:pPr>
              <w:rPr>
                <w:rFonts w:ascii="Calibri" w:hAnsi="Calibri" w:cs="Calibri"/>
                <w:sz w:val="18"/>
                <w:szCs w:val="28"/>
              </w:rPr>
            </w:pPr>
            <w:r w:rsidRPr="000620C9">
              <w:rPr>
                <w:rFonts w:ascii="Calibri" w:hAnsi="Calibri" w:cs="Calibri"/>
                <w:sz w:val="18"/>
                <w:szCs w:val="28"/>
              </w:rPr>
              <w:t>Stocks de MP (400 kg)</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16 000</w:t>
            </w:r>
          </w:p>
        </w:tc>
        <w:tc>
          <w:tcPr>
            <w:tcW w:w="2823" w:type="dxa"/>
            <w:shd w:val="clear" w:color="auto" w:fill="auto"/>
          </w:tcPr>
          <w:p w:rsidR="00C000D3" w:rsidRPr="000620C9" w:rsidRDefault="00C000D3" w:rsidP="00BE6E61">
            <w:pPr>
              <w:rPr>
                <w:rFonts w:ascii="Calibri" w:hAnsi="Calibri" w:cs="Calibri"/>
                <w:sz w:val="18"/>
                <w:szCs w:val="28"/>
                <w:vertAlign w:val="superscript"/>
              </w:rPr>
            </w:pPr>
            <w:r w:rsidRPr="000620C9">
              <w:rPr>
                <w:rFonts w:ascii="Calibri" w:hAnsi="Calibri" w:cs="Calibri"/>
                <w:sz w:val="18"/>
                <w:szCs w:val="28"/>
              </w:rPr>
              <w:t>Emprunts et dettes</w:t>
            </w:r>
            <w:r w:rsidRPr="000620C9">
              <w:rPr>
                <w:rFonts w:ascii="Calibri" w:hAnsi="Calibri" w:cs="Calibri"/>
                <w:sz w:val="18"/>
                <w:szCs w:val="28"/>
                <w:vertAlign w:val="superscript"/>
              </w:rPr>
              <w:t>(2)</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400 000</w:t>
            </w:r>
          </w:p>
        </w:tc>
      </w:tr>
      <w:tr w:rsidR="00C000D3" w:rsidRPr="000620C9" w:rsidTr="00BE6E61">
        <w:trPr>
          <w:trHeight w:hRule="exact" w:val="227"/>
          <w:jc w:val="center"/>
        </w:trPr>
        <w:tc>
          <w:tcPr>
            <w:tcW w:w="2491" w:type="dxa"/>
            <w:shd w:val="clear" w:color="auto" w:fill="auto"/>
          </w:tcPr>
          <w:p w:rsidR="00C000D3" w:rsidRPr="000620C9" w:rsidRDefault="00C000D3" w:rsidP="00BE6E61">
            <w:pPr>
              <w:rPr>
                <w:rFonts w:ascii="Calibri" w:hAnsi="Calibri" w:cs="Calibri"/>
                <w:sz w:val="18"/>
                <w:szCs w:val="28"/>
              </w:rPr>
            </w:pPr>
            <w:r w:rsidRPr="000620C9">
              <w:rPr>
                <w:rFonts w:ascii="Calibri" w:hAnsi="Calibri" w:cs="Calibri"/>
                <w:sz w:val="18"/>
                <w:szCs w:val="28"/>
              </w:rPr>
              <w:t>Stocks de PF (1000 unités)</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350 000</w:t>
            </w:r>
          </w:p>
        </w:tc>
        <w:tc>
          <w:tcPr>
            <w:tcW w:w="2823" w:type="dxa"/>
            <w:shd w:val="clear" w:color="auto" w:fill="auto"/>
          </w:tcPr>
          <w:p w:rsidR="00C000D3" w:rsidRPr="000620C9" w:rsidRDefault="00C000D3" w:rsidP="00BE6E61">
            <w:pPr>
              <w:rPr>
                <w:rFonts w:ascii="Calibri" w:hAnsi="Calibri" w:cs="Calibri"/>
                <w:sz w:val="18"/>
                <w:szCs w:val="28"/>
              </w:rPr>
            </w:pPr>
            <w:r w:rsidRPr="000620C9">
              <w:rPr>
                <w:rFonts w:ascii="Calibri" w:hAnsi="Calibri" w:cs="Calibri"/>
                <w:sz w:val="18"/>
                <w:szCs w:val="28"/>
              </w:rPr>
              <w:t>Fournisseurs et comptes rattachés</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185 000</w:t>
            </w:r>
          </w:p>
        </w:tc>
      </w:tr>
      <w:tr w:rsidR="00C000D3" w:rsidRPr="000620C9" w:rsidTr="00BE6E61">
        <w:trPr>
          <w:trHeight w:hRule="exact" w:val="227"/>
          <w:jc w:val="center"/>
        </w:trPr>
        <w:tc>
          <w:tcPr>
            <w:tcW w:w="2491" w:type="dxa"/>
            <w:shd w:val="clear" w:color="auto" w:fill="auto"/>
          </w:tcPr>
          <w:p w:rsidR="00C000D3" w:rsidRPr="000620C9" w:rsidRDefault="00C000D3" w:rsidP="00BE6E61">
            <w:pPr>
              <w:rPr>
                <w:rFonts w:ascii="Calibri" w:hAnsi="Calibri" w:cs="Calibri"/>
                <w:sz w:val="18"/>
                <w:szCs w:val="28"/>
                <w:vertAlign w:val="superscript"/>
              </w:rPr>
            </w:pPr>
            <w:r w:rsidRPr="000620C9">
              <w:rPr>
                <w:rFonts w:ascii="Calibri" w:hAnsi="Calibri" w:cs="Calibri"/>
                <w:sz w:val="18"/>
                <w:szCs w:val="28"/>
              </w:rPr>
              <w:t>Clients et comptes rattachés</w:t>
            </w:r>
            <w:r w:rsidRPr="000620C9">
              <w:rPr>
                <w:rFonts w:ascii="Calibri" w:hAnsi="Calibri" w:cs="Calibri"/>
                <w:sz w:val="18"/>
                <w:szCs w:val="28"/>
                <w:vertAlign w:val="superscript"/>
              </w:rPr>
              <w:t>(1)</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325 000</w:t>
            </w:r>
          </w:p>
        </w:tc>
        <w:tc>
          <w:tcPr>
            <w:tcW w:w="2823" w:type="dxa"/>
            <w:shd w:val="clear" w:color="auto" w:fill="auto"/>
          </w:tcPr>
          <w:p w:rsidR="00C000D3" w:rsidRPr="000620C9" w:rsidRDefault="00C000D3" w:rsidP="00BE6E61">
            <w:pPr>
              <w:rPr>
                <w:rFonts w:ascii="Calibri" w:hAnsi="Calibri" w:cs="Calibri"/>
                <w:sz w:val="18"/>
                <w:szCs w:val="28"/>
                <w:vertAlign w:val="superscript"/>
              </w:rPr>
            </w:pPr>
            <w:r w:rsidRPr="000620C9">
              <w:rPr>
                <w:rFonts w:ascii="Calibri" w:hAnsi="Calibri" w:cs="Calibri"/>
                <w:sz w:val="18"/>
                <w:szCs w:val="28"/>
              </w:rPr>
              <w:t>Dettes fiscales et sociales</w:t>
            </w:r>
            <w:r w:rsidRPr="000620C9">
              <w:rPr>
                <w:rFonts w:ascii="Calibri" w:hAnsi="Calibri" w:cs="Calibri"/>
                <w:sz w:val="18"/>
                <w:szCs w:val="28"/>
                <w:vertAlign w:val="superscript"/>
              </w:rPr>
              <w:t>(3)</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210 000</w:t>
            </w:r>
          </w:p>
        </w:tc>
      </w:tr>
      <w:tr w:rsidR="00C000D3" w:rsidRPr="000620C9" w:rsidTr="00BE6E61">
        <w:trPr>
          <w:trHeight w:hRule="exact" w:val="227"/>
          <w:jc w:val="center"/>
        </w:trPr>
        <w:tc>
          <w:tcPr>
            <w:tcW w:w="2491" w:type="dxa"/>
            <w:shd w:val="clear" w:color="auto" w:fill="auto"/>
          </w:tcPr>
          <w:p w:rsidR="00C000D3" w:rsidRPr="000620C9" w:rsidRDefault="00C000D3" w:rsidP="00BE6E61">
            <w:pPr>
              <w:rPr>
                <w:rFonts w:ascii="Calibri" w:hAnsi="Calibri" w:cs="Calibri"/>
                <w:sz w:val="18"/>
                <w:szCs w:val="28"/>
              </w:rPr>
            </w:pPr>
            <w:r w:rsidRPr="000620C9">
              <w:rPr>
                <w:rFonts w:ascii="Calibri" w:hAnsi="Calibri" w:cs="Calibri"/>
                <w:sz w:val="18"/>
                <w:szCs w:val="28"/>
              </w:rPr>
              <w:t>Autres créances</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60 000</w:t>
            </w:r>
          </w:p>
        </w:tc>
        <w:tc>
          <w:tcPr>
            <w:tcW w:w="2823" w:type="dxa"/>
            <w:shd w:val="clear" w:color="auto" w:fill="auto"/>
          </w:tcPr>
          <w:p w:rsidR="00C000D3" w:rsidRPr="000620C9" w:rsidRDefault="00C000D3" w:rsidP="00BE6E61">
            <w:pPr>
              <w:rPr>
                <w:rFonts w:ascii="Calibri" w:hAnsi="Calibri" w:cs="Calibri"/>
                <w:sz w:val="18"/>
                <w:szCs w:val="28"/>
              </w:rPr>
            </w:pPr>
          </w:p>
        </w:tc>
        <w:tc>
          <w:tcPr>
            <w:tcW w:w="1026" w:type="dxa"/>
            <w:shd w:val="clear" w:color="auto" w:fill="auto"/>
          </w:tcPr>
          <w:p w:rsidR="00C000D3" w:rsidRPr="000620C9" w:rsidRDefault="00C000D3" w:rsidP="00BE6E61">
            <w:pPr>
              <w:jc w:val="center"/>
              <w:rPr>
                <w:rFonts w:ascii="Calibri" w:hAnsi="Calibri" w:cs="Calibri"/>
                <w:sz w:val="18"/>
                <w:szCs w:val="28"/>
              </w:rPr>
            </w:pPr>
          </w:p>
        </w:tc>
      </w:tr>
      <w:tr w:rsidR="00C000D3" w:rsidRPr="000620C9" w:rsidTr="00BE6E61">
        <w:trPr>
          <w:trHeight w:hRule="exact" w:val="227"/>
          <w:jc w:val="center"/>
        </w:trPr>
        <w:tc>
          <w:tcPr>
            <w:tcW w:w="2491" w:type="dxa"/>
            <w:shd w:val="clear" w:color="auto" w:fill="auto"/>
          </w:tcPr>
          <w:p w:rsidR="00C000D3" w:rsidRPr="000620C9" w:rsidRDefault="00C000D3" w:rsidP="00BE6E61">
            <w:pPr>
              <w:rPr>
                <w:rFonts w:ascii="Calibri" w:hAnsi="Calibri" w:cs="Calibri"/>
                <w:sz w:val="18"/>
                <w:szCs w:val="28"/>
              </w:rPr>
            </w:pPr>
            <w:r w:rsidRPr="000620C9">
              <w:rPr>
                <w:rFonts w:ascii="Calibri" w:hAnsi="Calibri" w:cs="Calibri"/>
                <w:sz w:val="18"/>
                <w:szCs w:val="28"/>
              </w:rPr>
              <w:t>Disponibilités</w:t>
            </w:r>
          </w:p>
        </w:tc>
        <w:tc>
          <w:tcPr>
            <w:tcW w:w="1026" w:type="dxa"/>
            <w:shd w:val="clear" w:color="auto" w:fill="auto"/>
          </w:tcPr>
          <w:p w:rsidR="00C000D3" w:rsidRPr="000620C9" w:rsidRDefault="00C000D3" w:rsidP="00BE6E61">
            <w:pPr>
              <w:jc w:val="center"/>
              <w:rPr>
                <w:rFonts w:ascii="Calibri" w:hAnsi="Calibri" w:cs="Calibri"/>
                <w:sz w:val="18"/>
                <w:szCs w:val="28"/>
              </w:rPr>
            </w:pPr>
            <w:r w:rsidRPr="000620C9">
              <w:rPr>
                <w:rFonts w:ascii="Calibri" w:hAnsi="Calibri" w:cs="Calibri"/>
                <w:sz w:val="18"/>
                <w:szCs w:val="28"/>
              </w:rPr>
              <w:t>9 000</w:t>
            </w:r>
          </w:p>
        </w:tc>
        <w:tc>
          <w:tcPr>
            <w:tcW w:w="2823" w:type="dxa"/>
            <w:shd w:val="clear" w:color="auto" w:fill="auto"/>
          </w:tcPr>
          <w:p w:rsidR="00C000D3" w:rsidRPr="000620C9" w:rsidRDefault="00C000D3" w:rsidP="00BE6E61">
            <w:pPr>
              <w:rPr>
                <w:rFonts w:ascii="Calibri" w:hAnsi="Calibri" w:cs="Calibri"/>
                <w:sz w:val="18"/>
                <w:szCs w:val="28"/>
              </w:rPr>
            </w:pPr>
          </w:p>
        </w:tc>
        <w:tc>
          <w:tcPr>
            <w:tcW w:w="1026" w:type="dxa"/>
            <w:shd w:val="clear" w:color="auto" w:fill="auto"/>
          </w:tcPr>
          <w:p w:rsidR="00C000D3" w:rsidRPr="000620C9" w:rsidRDefault="00C000D3" w:rsidP="00BE6E61">
            <w:pPr>
              <w:jc w:val="center"/>
              <w:rPr>
                <w:rFonts w:ascii="Calibri" w:hAnsi="Calibri" w:cs="Calibri"/>
                <w:sz w:val="18"/>
                <w:szCs w:val="28"/>
              </w:rPr>
            </w:pPr>
          </w:p>
        </w:tc>
      </w:tr>
      <w:tr w:rsidR="00C000D3" w:rsidRPr="000620C9" w:rsidTr="00BE6E61">
        <w:trPr>
          <w:trHeight w:hRule="exact" w:val="227"/>
          <w:jc w:val="center"/>
        </w:trPr>
        <w:tc>
          <w:tcPr>
            <w:tcW w:w="2491"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TOTAL ACTIF</w:t>
            </w:r>
          </w:p>
        </w:tc>
        <w:tc>
          <w:tcPr>
            <w:tcW w:w="1026"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1 860 000</w:t>
            </w:r>
          </w:p>
        </w:tc>
        <w:tc>
          <w:tcPr>
            <w:tcW w:w="2823"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TOTAL PASSIF</w:t>
            </w:r>
          </w:p>
        </w:tc>
        <w:tc>
          <w:tcPr>
            <w:tcW w:w="1026" w:type="dxa"/>
            <w:shd w:val="clear" w:color="auto" w:fill="auto"/>
          </w:tcPr>
          <w:p w:rsidR="00C000D3" w:rsidRPr="000620C9" w:rsidRDefault="00C000D3" w:rsidP="00BE6E61">
            <w:pPr>
              <w:jc w:val="center"/>
              <w:rPr>
                <w:rFonts w:ascii="Calibri" w:hAnsi="Calibri" w:cs="Calibri"/>
                <w:b/>
                <w:sz w:val="18"/>
                <w:szCs w:val="28"/>
              </w:rPr>
            </w:pPr>
            <w:r w:rsidRPr="000620C9">
              <w:rPr>
                <w:rFonts w:ascii="Calibri" w:hAnsi="Calibri" w:cs="Calibri"/>
                <w:b/>
                <w:sz w:val="18"/>
                <w:szCs w:val="28"/>
              </w:rPr>
              <w:t>1 860 000</w:t>
            </w:r>
          </w:p>
        </w:tc>
      </w:tr>
    </w:tbl>
    <w:p w:rsidR="00C000D3" w:rsidRPr="000620C9" w:rsidRDefault="00C000D3" w:rsidP="00C000D3">
      <w:pPr>
        <w:spacing w:after="0"/>
        <w:rPr>
          <w:rFonts w:ascii="Calibri" w:hAnsi="Calibri" w:cs="Calibri"/>
          <w:sz w:val="16"/>
          <w:szCs w:val="28"/>
        </w:rPr>
      </w:pPr>
      <w:r w:rsidRPr="000620C9">
        <w:rPr>
          <w:rFonts w:ascii="Calibri" w:hAnsi="Calibri" w:cs="Calibri"/>
          <w:b/>
          <w:sz w:val="16"/>
          <w:szCs w:val="28"/>
        </w:rPr>
        <w:t xml:space="preserve">(1) </w:t>
      </w:r>
      <w:r w:rsidRPr="000620C9">
        <w:rPr>
          <w:rFonts w:ascii="Calibri" w:hAnsi="Calibri" w:cs="Calibri"/>
          <w:sz w:val="16"/>
          <w:szCs w:val="28"/>
        </w:rPr>
        <w:t>10 000 € de créances douteuses et 315 000 € d’effets à recevoir</w:t>
      </w:r>
    </w:p>
    <w:p w:rsidR="00C000D3" w:rsidRPr="000620C9" w:rsidRDefault="00C000D3" w:rsidP="00C000D3">
      <w:pPr>
        <w:spacing w:after="0"/>
        <w:rPr>
          <w:rFonts w:ascii="Calibri" w:hAnsi="Calibri" w:cs="Calibri"/>
          <w:sz w:val="16"/>
          <w:szCs w:val="28"/>
        </w:rPr>
      </w:pPr>
      <w:r w:rsidRPr="000620C9">
        <w:rPr>
          <w:rFonts w:ascii="Calibri" w:hAnsi="Calibri" w:cs="Calibri"/>
          <w:b/>
          <w:sz w:val="16"/>
          <w:szCs w:val="28"/>
        </w:rPr>
        <w:t>(2)</w:t>
      </w:r>
      <w:r w:rsidRPr="000620C9">
        <w:rPr>
          <w:rFonts w:ascii="Calibri" w:hAnsi="Calibri" w:cs="Calibri"/>
          <w:sz w:val="16"/>
          <w:szCs w:val="28"/>
        </w:rPr>
        <w:t xml:space="preserve"> Dont 20 000 € d’intérêts courus</w:t>
      </w:r>
    </w:p>
    <w:p w:rsidR="00C000D3" w:rsidRDefault="00C000D3" w:rsidP="00C000D3">
      <w:pPr>
        <w:spacing w:after="0"/>
        <w:rPr>
          <w:rFonts w:ascii="Calibri" w:hAnsi="Calibri" w:cs="Calibri"/>
          <w:sz w:val="16"/>
          <w:szCs w:val="28"/>
        </w:rPr>
      </w:pPr>
      <w:r w:rsidRPr="000620C9">
        <w:rPr>
          <w:rFonts w:ascii="Calibri" w:hAnsi="Calibri" w:cs="Calibri"/>
          <w:b/>
          <w:sz w:val="16"/>
          <w:szCs w:val="28"/>
        </w:rPr>
        <w:t>(3)</w:t>
      </w:r>
      <w:r w:rsidRPr="000620C9">
        <w:rPr>
          <w:rFonts w:ascii="Calibri" w:hAnsi="Calibri" w:cs="Calibri"/>
          <w:sz w:val="16"/>
          <w:szCs w:val="28"/>
        </w:rPr>
        <w:t xml:space="preserve"> Dont 50 000 € de TVA à décaisser, 125 000 € d’impôt sur les bénéfices et 35 000 </w:t>
      </w:r>
      <w:r>
        <w:rPr>
          <w:rFonts w:ascii="Calibri" w:hAnsi="Calibri" w:cs="Calibri"/>
          <w:sz w:val="16"/>
          <w:szCs w:val="28"/>
        </w:rPr>
        <w:t>€ de charges à payer en janvier</w:t>
      </w:r>
    </w:p>
    <w:p w:rsidR="00C000D3" w:rsidRPr="00B351B9" w:rsidRDefault="00C000D3" w:rsidP="00C000D3">
      <w:pPr>
        <w:spacing w:after="0"/>
        <w:rPr>
          <w:rFonts w:ascii="Calibri" w:hAnsi="Calibri" w:cs="Calibri"/>
          <w:sz w:val="16"/>
          <w:szCs w:val="28"/>
        </w:rPr>
      </w:pPr>
    </w:p>
    <w:p w:rsidR="00C000D3" w:rsidRPr="00C000D3" w:rsidRDefault="00C000D3" w:rsidP="00C000D3">
      <w:pPr>
        <w:rPr>
          <w:rFonts w:ascii="Calibri" w:hAnsi="Calibri" w:cs="Calibri"/>
          <w:b/>
          <w:sz w:val="20"/>
          <w:szCs w:val="28"/>
          <w:u w:val="single"/>
        </w:rPr>
      </w:pPr>
      <w:r w:rsidRPr="00C000D3">
        <w:rPr>
          <w:rFonts w:ascii="Calibri" w:hAnsi="Calibri" w:cs="Calibri"/>
          <w:b/>
          <w:sz w:val="20"/>
          <w:szCs w:val="28"/>
          <w:u w:val="single"/>
        </w:rPr>
        <w:t>Renseignements complémentaires sur le bilan au 31 décembre N :</w:t>
      </w:r>
    </w:p>
    <w:p w:rsidR="00C000D3" w:rsidRPr="00C000D3" w:rsidRDefault="00C000D3" w:rsidP="00CF30F8">
      <w:pPr>
        <w:numPr>
          <w:ilvl w:val="0"/>
          <w:numId w:val="3"/>
        </w:numPr>
        <w:spacing w:after="0" w:line="240" w:lineRule="auto"/>
        <w:jc w:val="left"/>
        <w:rPr>
          <w:rFonts w:ascii="Calibri" w:hAnsi="Calibri" w:cs="Calibri"/>
          <w:sz w:val="20"/>
          <w:szCs w:val="28"/>
        </w:rPr>
      </w:pPr>
      <w:r w:rsidRPr="00C000D3">
        <w:rPr>
          <w:rFonts w:ascii="Calibri" w:hAnsi="Calibri" w:cs="Calibri"/>
          <w:sz w:val="20"/>
          <w:szCs w:val="28"/>
        </w:rPr>
        <w:t xml:space="preserve">Les effets à recevoir seront encaissés en janvier, </w:t>
      </w:r>
    </w:p>
    <w:p w:rsidR="00C000D3" w:rsidRPr="00C000D3" w:rsidRDefault="00C000D3" w:rsidP="00CF30F8">
      <w:pPr>
        <w:numPr>
          <w:ilvl w:val="0"/>
          <w:numId w:val="3"/>
        </w:numPr>
        <w:spacing w:after="0" w:line="240" w:lineRule="auto"/>
        <w:jc w:val="left"/>
        <w:rPr>
          <w:rFonts w:ascii="Calibri" w:hAnsi="Calibri" w:cs="Calibri"/>
          <w:sz w:val="20"/>
          <w:szCs w:val="28"/>
        </w:rPr>
      </w:pPr>
      <w:r w:rsidRPr="00C000D3">
        <w:rPr>
          <w:rFonts w:ascii="Calibri" w:hAnsi="Calibri" w:cs="Calibri"/>
          <w:sz w:val="20"/>
          <w:szCs w:val="28"/>
        </w:rPr>
        <w:t>Les fournisseurs seront réglés, moitié en janvier, moitié en février,</w:t>
      </w:r>
    </w:p>
    <w:p w:rsidR="00C000D3" w:rsidRPr="00C000D3" w:rsidRDefault="00C000D3" w:rsidP="00CF30F8">
      <w:pPr>
        <w:numPr>
          <w:ilvl w:val="0"/>
          <w:numId w:val="3"/>
        </w:numPr>
        <w:spacing w:after="0" w:line="240" w:lineRule="auto"/>
        <w:jc w:val="left"/>
        <w:rPr>
          <w:rFonts w:ascii="Calibri" w:hAnsi="Calibri" w:cs="Calibri"/>
          <w:sz w:val="20"/>
          <w:szCs w:val="28"/>
        </w:rPr>
      </w:pPr>
      <w:r w:rsidRPr="00C000D3">
        <w:rPr>
          <w:rFonts w:ascii="Calibri" w:hAnsi="Calibri" w:cs="Calibri"/>
          <w:sz w:val="20"/>
          <w:szCs w:val="28"/>
        </w:rPr>
        <w:t>Le poste « emprunts et dettes » concerne un seul emprunt dont l’échéance est au 30 juin et qui est remboursé par annuités constantes de 80 000 €,</w:t>
      </w:r>
    </w:p>
    <w:p w:rsidR="00C000D3" w:rsidRPr="00C000D3" w:rsidRDefault="00C000D3" w:rsidP="00CF30F8">
      <w:pPr>
        <w:numPr>
          <w:ilvl w:val="0"/>
          <w:numId w:val="3"/>
        </w:numPr>
        <w:spacing w:after="0" w:line="240" w:lineRule="auto"/>
        <w:jc w:val="left"/>
        <w:rPr>
          <w:rFonts w:ascii="Calibri" w:hAnsi="Calibri" w:cs="Calibri"/>
          <w:sz w:val="20"/>
          <w:szCs w:val="28"/>
        </w:rPr>
      </w:pPr>
      <w:r w:rsidRPr="00C000D3">
        <w:rPr>
          <w:rFonts w:ascii="Calibri" w:hAnsi="Calibri" w:cs="Calibri"/>
          <w:sz w:val="20"/>
          <w:szCs w:val="28"/>
        </w:rPr>
        <w:t>Les autres créances seront encaissées en janvier.</w:t>
      </w:r>
    </w:p>
    <w:p w:rsidR="00C000D3" w:rsidRDefault="00C000D3" w:rsidP="00C000D3">
      <w:pPr>
        <w:rPr>
          <w:rFonts w:ascii="Calibri" w:hAnsi="Calibri" w:cs="Calibri"/>
          <w:b/>
          <w:sz w:val="18"/>
          <w:szCs w:val="28"/>
          <w:u w:val="single"/>
        </w:rPr>
      </w:pPr>
    </w:p>
    <w:p w:rsidR="00C000D3" w:rsidRPr="00C000D3" w:rsidRDefault="00C000D3" w:rsidP="00C000D3">
      <w:pPr>
        <w:rPr>
          <w:rFonts w:ascii="Calibri" w:hAnsi="Calibri" w:cs="Calibri"/>
          <w:b/>
          <w:sz w:val="20"/>
          <w:szCs w:val="28"/>
          <w:u w:val="single"/>
        </w:rPr>
      </w:pPr>
      <w:r w:rsidRPr="00C000D3">
        <w:rPr>
          <w:rFonts w:ascii="Calibri" w:hAnsi="Calibri" w:cs="Calibri"/>
          <w:b/>
          <w:sz w:val="20"/>
          <w:szCs w:val="28"/>
          <w:u w:val="single"/>
        </w:rPr>
        <w:t>Renseignements concernant l’exploitation courante pour le 1</w:t>
      </w:r>
      <w:r w:rsidRPr="00C000D3">
        <w:rPr>
          <w:rFonts w:ascii="Calibri" w:hAnsi="Calibri" w:cs="Calibri"/>
          <w:b/>
          <w:sz w:val="20"/>
          <w:szCs w:val="28"/>
          <w:u w:val="single"/>
          <w:vertAlign w:val="superscript"/>
        </w:rPr>
        <w:t>er</w:t>
      </w:r>
      <w:r w:rsidRPr="00C000D3">
        <w:rPr>
          <w:rFonts w:ascii="Calibri" w:hAnsi="Calibri" w:cs="Calibri"/>
          <w:b/>
          <w:sz w:val="20"/>
          <w:szCs w:val="28"/>
          <w:u w:val="single"/>
        </w:rPr>
        <w:t xml:space="preserve"> semestre N+1 :</w:t>
      </w:r>
    </w:p>
    <w:p w:rsidR="00C000D3" w:rsidRPr="00C000D3" w:rsidRDefault="00C000D3" w:rsidP="00CF30F8">
      <w:pPr>
        <w:numPr>
          <w:ilvl w:val="0"/>
          <w:numId w:val="4"/>
        </w:numPr>
        <w:spacing w:after="0" w:line="240" w:lineRule="auto"/>
        <w:jc w:val="left"/>
        <w:rPr>
          <w:rFonts w:ascii="Calibri" w:hAnsi="Calibri" w:cs="Calibri"/>
          <w:sz w:val="20"/>
          <w:szCs w:val="28"/>
        </w:rPr>
      </w:pPr>
      <w:r w:rsidRPr="00C000D3">
        <w:rPr>
          <w:rFonts w:ascii="Calibri" w:hAnsi="Calibri" w:cs="Calibri"/>
          <w:sz w:val="20"/>
          <w:szCs w:val="28"/>
        </w:rPr>
        <w:t>Le taux de TVA applicable à l’ensemble des opérations est le taux normal de 20 % ;</w:t>
      </w:r>
    </w:p>
    <w:p w:rsidR="00C000D3" w:rsidRPr="00C000D3" w:rsidRDefault="00C000D3" w:rsidP="00CF30F8">
      <w:pPr>
        <w:numPr>
          <w:ilvl w:val="0"/>
          <w:numId w:val="4"/>
        </w:numPr>
        <w:spacing w:after="0" w:line="240" w:lineRule="auto"/>
        <w:jc w:val="left"/>
        <w:rPr>
          <w:rFonts w:ascii="Calibri" w:hAnsi="Calibri" w:cs="Calibri"/>
          <w:sz w:val="20"/>
          <w:szCs w:val="28"/>
        </w:rPr>
      </w:pPr>
      <w:r w:rsidRPr="00C000D3">
        <w:rPr>
          <w:rFonts w:ascii="Calibri" w:hAnsi="Calibri" w:cs="Calibri"/>
          <w:sz w:val="20"/>
          <w:szCs w:val="28"/>
        </w:rPr>
        <w:t xml:space="preserve">L’entreprise utilise la méthode « Premier Entré Premier Sorti » pour la valorisation des stocks </w:t>
      </w:r>
    </w:p>
    <w:p w:rsidR="00C000D3" w:rsidRDefault="00C000D3" w:rsidP="00C000D3">
      <w:pPr>
        <w:rPr>
          <w:rFonts w:ascii="Calibri" w:hAnsi="Calibri" w:cs="Calibri"/>
          <w:b/>
          <w:sz w:val="18"/>
          <w:szCs w:val="28"/>
          <w:u w:val="single"/>
        </w:rPr>
      </w:pPr>
    </w:p>
    <w:p w:rsidR="00C000D3" w:rsidRPr="00C000D3" w:rsidRDefault="00C000D3" w:rsidP="00C000D3">
      <w:pPr>
        <w:rPr>
          <w:rFonts w:ascii="Calibri" w:hAnsi="Calibri" w:cs="Calibri"/>
          <w:b/>
          <w:sz w:val="20"/>
          <w:szCs w:val="28"/>
          <w:u w:val="single"/>
        </w:rPr>
      </w:pPr>
      <w:r w:rsidRPr="00C000D3">
        <w:rPr>
          <w:rFonts w:ascii="Calibri" w:hAnsi="Calibri" w:cs="Calibri"/>
          <w:b/>
          <w:sz w:val="20"/>
          <w:szCs w:val="28"/>
          <w:u w:val="single"/>
        </w:rPr>
        <w:t>Renseignements concernant les ventes :</w:t>
      </w:r>
    </w:p>
    <w:p w:rsidR="00C000D3" w:rsidRPr="00C000D3" w:rsidRDefault="00C000D3" w:rsidP="00CF30F8">
      <w:pPr>
        <w:numPr>
          <w:ilvl w:val="0"/>
          <w:numId w:val="5"/>
        </w:numPr>
        <w:spacing w:after="0" w:line="240" w:lineRule="auto"/>
        <w:jc w:val="left"/>
        <w:rPr>
          <w:rFonts w:ascii="Calibri" w:hAnsi="Calibri" w:cs="Calibri"/>
          <w:sz w:val="20"/>
          <w:szCs w:val="28"/>
        </w:rPr>
      </w:pPr>
      <w:r w:rsidRPr="00C000D3">
        <w:rPr>
          <w:rFonts w:ascii="Calibri" w:hAnsi="Calibri" w:cs="Calibri"/>
          <w:sz w:val="20"/>
          <w:szCs w:val="28"/>
        </w:rPr>
        <w:t>24 000 articles à 400 € HT pour l’année N+1 ;</w:t>
      </w:r>
    </w:p>
    <w:p w:rsidR="00C000D3" w:rsidRPr="00C000D3" w:rsidRDefault="00C000D3" w:rsidP="00CF30F8">
      <w:pPr>
        <w:numPr>
          <w:ilvl w:val="0"/>
          <w:numId w:val="5"/>
        </w:numPr>
        <w:spacing w:after="0" w:line="240" w:lineRule="auto"/>
        <w:jc w:val="left"/>
        <w:rPr>
          <w:rFonts w:ascii="Calibri" w:hAnsi="Calibri" w:cs="Calibri"/>
          <w:sz w:val="20"/>
          <w:szCs w:val="28"/>
        </w:rPr>
      </w:pPr>
      <w:r w:rsidRPr="00C000D3">
        <w:rPr>
          <w:rFonts w:ascii="Calibri" w:hAnsi="Calibri" w:cs="Calibri"/>
          <w:sz w:val="20"/>
          <w:szCs w:val="28"/>
        </w:rPr>
        <w:t>Les coefficients saisonniers trimestriels déterminés statistiquement sont les suivants :</w:t>
      </w:r>
    </w:p>
    <w:p w:rsidR="00C000D3" w:rsidRPr="00C000D3" w:rsidRDefault="00C000D3" w:rsidP="00CF30F8">
      <w:pPr>
        <w:numPr>
          <w:ilvl w:val="0"/>
          <w:numId w:val="6"/>
        </w:numPr>
        <w:spacing w:after="0" w:line="240" w:lineRule="auto"/>
        <w:jc w:val="left"/>
        <w:rPr>
          <w:rFonts w:ascii="Calibri" w:hAnsi="Calibri" w:cs="Calibri"/>
          <w:sz w:val="20"/>
          <w:szCs w:val="28"/>
        </w:rPr>
      </w:pPr>
      <w:r w:rsidRPr="00C000D3">
        <w:rPr>
          <w:rFonts w:ascii="Calibri" w:hAnsi="Calibri" w:cs="Calibri"/>
          <w:sz w:val="20"/>
          <w:szCs w:val="28"/>
        </w:rPr>
        <w:t>1</w:t>
      </w:r>
      <w:r w:rsidRPr="00C000D3">
        <w:rPr>
          <w:rFonts w:ascii="Calibri" w:hAnsi="Calibri" w:cs="Calibri"/>
          <w:sz w:val="20"/>
          <w:szCs w:val="28"/>
          <w:vertAlign w:val="superscript"/>
        </w:rPr>
        <w:t>er</w:t>
      </w:r>
      <w:r w:rsidRPr="00C000D3">
        <w:rPr>
          <w:rFonts w:ascii="Calibri" w:hAnsi="Calibri" w:cs="Calibri"/>
          <w:sz w:val="20"/>
          <w:szCs w:val="28"/>
        </w:rPr>
        <w:t xml:space="preserve"> trimestre : 0,5</w:t>
      </w:r>
    </w:p>
    <w:p w:rsidR="00C000D3" w:rsidRPr="00C000D3" w:rsidRDefault="00C000D3" w:rsidP="00CF30F8">
      <w:pPr>
        <w:numPr>
          <w:ilvl w:val="0"/>
          <w:numId w:val="6"/>
        </w:numPr>
        <w:spacing w:after="0" w:line="240" w:lineRule="auto"/>
        <w:jc w:val="left"/>
        <w:rPr>
          <w:rFonts w:ascii="Calibri" w:hAnsi="Calibri" w:cs="Calibri"/>
          <w:sz w:val="20"/>
          <w:szCs w:val="28"/>
        </w:rPr>
      </w:pPr>
      <w:r w:rsidRPr="00C000D3">
        <w:rPr>
          <w:rFonts w:ascii="Calibri" w:hAnsi="Calibri" w:cs="Calibri"/>
          <w:sz w:val="20"/>
          <w:szCs w:val="28"/>
        </w:rPr>
        <w:t>2</w:t>
      </w:r>
      <w:r w:rsidRPr="00C000D3">
        <w:rPr>
          <w:rFonts w:ascii="Calibri" w:hAnsi="Calibri" w:cs="Calibri"/>
          <w:sz w:val="20"/>
          <w:szCs w:val="28"/>
          <w:vertAlign w:val="superscript"/>
        </w:rPr>
        <w:t>ème</w:t>
      </w:r>
      <w:r w:rsidRPr="00C000D3">
        <w:rPr>
          <w:rFonts w:ascii="Calibri" w:hAnsi="Calibri" w:cs="Calibri"/>
          <w:sz w:val="20"/>
          <w:szCs w:val="28"/>
        </w:rPr>
        <w:t xml:space="preserve"> trimestre : 1,8</w:t>
      </w:r>
    </w:p>
    <w:p w:rsidR="00C000D3" w:rsidRPr="00C000D3" w:rsidRDefault="00C000D3" w:rsidP="00CF30F8">
      <w:pPr>
        <w:numPr>
          <w:ilvl w:val="0"/>
          <w:numId w:val="6"/>
        </w:numPr>
        <w:spacing w:after="0" w:line="240" w:lineRule="auto"/>
        <w:jc w:val="left"/>
        <w:rPr>
          <w:rFonts w:ascii="Calibri" w:hAnsi="Calibri" w:cs="Calibri"/>
          <w:sz w:val="20"/>
          <w:szCs w:val="28"/>
        </w:rPr>
      </w:pPr>
      <w:r w:rsidRPr="00C000D3">
        <w:rPr>
          <w:rFonts w:ascii="Calibri" w:hAnsi="Calibri" w:cs="Calibri"/>
          <w:sz w:val="20"/>
          <w:szCs w:val="28"/>
        </w:rPr>
        <w:t>3</w:t>
      </w:r>
      <w:r w:rsidRPr="00C000D3">
        <w:rPr>
          <w:rFonts w:ascii="Calibri" w:hAnsi="Calibri" w:cs="Calibri"/>
          <w:sz w:val="20"/>
          <w:szCs w:val="28"/>
          <w:vertAlign w:val="superscript"/>
        </w:rPr>
        <w:t>ème</w:t>
      </w:r>
      <w:r w:rsidRPr="00C000D3">
        <w:rPr>
          <w:rFonts w:ascii="Calibri" w:hAnsi="Calibri" w:cs="Calibri"/>
          <w:sz w:val="20"/>
          <w:szCs w:val="28"/>
        </w:rPr>
        <w:t xml:space="preserve"> trimestre : 1</w:t>
      </w:r>
    </w:p>
    <w:p w:rsidR="00C000D3" w:rsidRPr="00C000D3" w:rsidRDefault="00C000D3" w:rsidP="00CF30F8">
      <w:pPr>
        <w:numPr>
          <w:ilvl w:val="0"/>
          <w:numId w:val="6"/>
        </w:numPr>
        <w:spacing w:after="0" w:line="240" w:lineRule="auto"/>
        <w:jc w:val="left"/>
        <w:rPr>
          <w:rFonts w:ascii="Calibri" w:hAnsi="Calibri" w:cs="Calibri"/>
          <w:sz w:val="20"/>
          <w:szCs w:val="28"/>
        </w:rPr>
      </w:pPr>
      <w:r w:rsidRPr="00C000D3">
        <w:rPr>
          <w:rFonts w:ascii="Calibri" w:hAnsi="Calibri" w:cs="Calibri"/>
          <w:sz w:val="20"/>
          <w:szCs w:val="28"/>
        </w:rPr>
        <w:t>4</w:t>
      </w:r>
      <w:r w:rsidRPr="00C000D3">
        <w:rPr>
          <w:rFonts w:ascii="Calibri" w:hAnsi="Calibri" w:cs="Calibri"/>
          <w:sz w:val="20"/>
          <w:szCs w:val="28"/>
          <w:vertAlign w:val="superscript"/>
        </w:rPr>
        <w:t>ème</w:t>
      </w:r>
      <w:r w:rsidRPr="00C000D3">
        <w:rPr>
          <w:rFonts w:ascii="Calibri" w:hAnsi="Calibri" w:cs="Calibri"/>
          <w:sz w:val="20"/>
          <w:szCs w:val="28"/>
        </w:rPr>
        <w:t xml:space="preserve"> trimestre : 0,7</w:t>
      </w:r>
    </w:p>
    <w:p w:rsidR="00C000D3" w:rsidRPr="00C000D3" w:rsidRDefault="00C000D3" w:rsidP="00CF30F8">
      <w:pPr>
        <w:numPr>
          <w:ilvl w:val="0"/>
          <w:numId w:val="7"/>
        </w:numPr>
        <w:spacing w:after="0" w:line="240" w:lineRule="auto"/>
        <w:jc w:val="left"/>
        <w:rPr>
          <w:rFonts w:ascii="Calibri" w:hAnsi="Calibri" w:cs="Calibri"/>
          <w:sz w:val="20"/>
          <w:szCs w:val="28"/>
        </w:rPr>
      </w:pPr>
      <w:r w:rsidRPr="00C000D3">
        <w:rPr>
          <w:rFonts w:ascii="Calibri" w:hAnsi="Calibri" w:cs="Calibri"/>
          <w:sz w:val="20"/>
          <w:szCs w:val="28"/>
        </w:rPr>
        <w:t>A l’intérieur de chaque trimestre, le rythme des ventes est régulier. Les conditions de règlement des clients sont les suivants : 50 % au comptant et 50 % par traite à 30 jours fin de mois.</w:t>
      </w:r>
    </w:p>
    <w:p w:rsidR="00C000D3" w:rsidRPr="00C000D3" w:rsidRDefault="00C000D3" w:rsidP="00C000D3">
      <w:pPr>
        <w:rPr>
          <w:rFonts w:ascii="Calibri" w:hAnsi="Calibri" w:cs="Calibri"/>
          <w:b/>
          <w:sz w:val="20"/>
          <w:szCs w:val="28"/>
          <w:u w:val="single"/>
        </w:rPr>
      </w:pPr>
    </w:p>
    <w:p w:rsidR="00C000D3" w:rsidRDefault="00C000D3" w:rsidP="00C000D3">
      <w:pPr>
        <w:rPr>
          <w:rFonts w:ascii="Calibri" w:hAnsi="Calibri" w:cs="Calibri"/>
          <w:b/>
          <w:sz w:val="20"/>
          <w:szCs w:val="28"/>
          <w:u w:val="single"/>
        </w:rPr>
      </w:pPr>
    </w:p>
    <w:p w:rsidR="00C000D3" w:rsidRDefault="00C000D3" w:rsidP="00C000D3">
      <w:pPr>
        <w:rPr>
          <w:rFonts w:ascii="Calibri" w:hAnsi="Calibri" w:cs="Calibri"/>
          <w:b/>
          <w:sz w:val="20"/>
          <w:szCs w:val="28"/>
          <w:u w:val="single"/>
        </w:rPr>
      </w:pPr>
    </w:p>
    <w:p w:rsidR="00C000D3" w:rsidRDefault="00C000D3" w:rsidP="00C000D3">
      <w:pPr>
        <w:rPr>
          <w:rFonts w:ascii="Calibri" w:hAnsi="Calibri" w:cs="Calibri"/>
          <w:b/>
          <w:sz w:val="20"/>
          <w:szCs w:val="28"/>
          <w:u w:val="single"/>
        </w:rPr>
      </w:pPr>
    </w:p>
    <w:p w:rsidR="00C000D3" w:rsidRDefault="00C000D3" w:rsidP="00C000D3">
      <w:pPr>
        <w:rPr>
          <w:rFonts w:ascii="Calibri" w:hAnsi="Calibri" w:cs="Calibri"/>
          <w:b/>
          <w:sz w:val="20"/>
          <w:szCs w:val="28"/>
          <w:u w:val="single"/>
        </w:rPr>
      </w:pPr>
    </w:p>
    <w:p w:rsidR="00C000D3" w:rsidRDefault="00C000D3" w:rsidP="00C000D3">
      <w:pPr>
        <w:rPr>
          <w:rFonts w:ascii="Calibri" w:hAnsi="Calibri" w:cs="Calibri"/>
          <w:b/>
          <w:sz w:val="20"/>
          <w:szCs w:val="28"/>
          <w:u w:val="single"/>
        </w:rPr>
      </w:pPr>
    </w:p>
    <w:p w:rsidR="00C000D3" w:rsidRDefault="00C000D3" w:rsidP="00C000D3">
      <w:pPr>
        <w:rPr>
          <w:rFonts w:ascii="Calibri" w:hAnsi="Calibri" w:cs="Calibri"/>
          <w:b/>
          <w:sz w:val="20"/>
          <w:szCs w:val="28"/>
          <w:u w:val="single"/>
        </w:rPr>
      </w:pPr>
    </w:p>
    <w:p w:rsidR="00C000D3" w:rsidRPr="00C000D3" w:rsidRDefault="00C000D3" w:rsidP="00C000D3">
      <w:pPr>
        <w:rPr>
          <w:rFonts w:ascii="Calibri" w:hAnsi="Calibri" w:cs="Calibri"/>
          <w:b/>
          <w:sz w:val="20"/>
          <w:szCs w:val="28"/>
          <w:u w:val="single"/>
        </w:rPr>
      </w:pPr>
      <w:r w:rsidRPr="00C000D3">
        <w:rPr>
          <w:rFonts w:ascii="Calibri" w:hAnsi="Calibri" w:cs="Calibri"/>
          <w:b/>
          <w:sz w:val="20"/>
          <w:szCs w:val="28"/>
          <w:u w:val="single"/>
        </w:rPr>
        <w:t>Renseignements concernant les prévisions des achats de MP :</w:t>
      </w:r>
    </w:p>
    <w:p w:rsidR="00C000D3" w:rsidRPr="00C000D3" w:rsidRDefault="00C000D3" w:rsidP="00CF30F8">
      <w:pPr>
        <w:numPr>
          <w:ilvl w:val="0"/>
          <w:numId w:val="7"/>
        </w:numPr>
        <w:spacing w:after="0" w:line="240" w:lineRule="auto"/>
        <w:jc w:val="left"/>
        <w:rPr>
          <w:rFonts w:ascii="Calibri" w:hAnsi="Calibri" w:cs="Calibri"/>
          <w:sz w:val="20"/>
          <w:szCs w:val="28"/>
        </w:rPr>
      </w:pPr>
      <w:r w:rsidRPr="00C000D3">
        <w:rPr>
          <w:rFonts w:ascii="Calibri" w:hAnsi="Calibri" w:cs="Calibri"/>
          <w:sz w:val="20"/>
          <w:szCs w:val="28"/>
        </w:rPr>
        <w:t>9 000 kg par mois au cours du 1</w:t>
      </w:r>
      <w:r w:rsidRPr="00C000D3">
        <w:rPr>
          <w:rFonts w:ascii="Calibri" w:hAnsi="Calibri" w:cs="Calibri"/>
          <w:sz w:val="20"/>
          <w:szCs w:val="28"/>
          <w:vertAlign w:val="superscript"/>
        </w:rPr>
        <w:t>er</w:t>
      </w:r>
      <w:r w:rsidRPr="00C000D3">
        <w:rPr>
          <w:rFonts w:ascii="Calibri" w:hAnsi="Calibri" w:cs="Calibri"/>
          <w:sz w:val="20"/>
          <w:szCs w:val="28"/>
        </w:rPr>
        <w:t xml:space="preserve"> trimestre</w:t>
      </w:r>
    </w:p>
    <w:p w:rsidR="00C000D3" w:rsidRPr="00C000D3" w:rsidRDefault="00C000D3" w:rsidP="00CF30F8">
      <w:pPr>
        <w:numPr>
          <w:ilvl w:val="0"/>
          <w:numId w:val="7"/>
        </w:numPr>
        <w:spacing w:after="0" w:line="240" w:lineRule="auto"/>
        <w:jc w:val="left"/>
        <w:rPr>
          <w:rFonts w:ascii="Calibri" w:hAnsi="Calibri" w:cs="Calibri"/>
          <w:sz w:val="20"/>
          <w:szCs w:val="28"/>
        </w:rPr>
      </w:pPr>
      <w:r w:rsidRPr="00C000D3">
        <w:rPr>
          <w:rFonts w:ascii="Calibri" w:hAnsi="Calibri" w:cs="Calibri"/>
          <w:sz w:val="20"/>
          <w:szCs w:val="28"/>
        </w:rPr>
        <w:t>12 500 kg par mois au cours du 2</w:t>
      </w:r>
      <w:r w:rsidRPr="00C000D3">
        <w:rPr>
          <w:rFonts w:ascii="Calibri" w:hAnsi="Calibri" w:cs="Calibri"/>
          <w:sz w:val="20"/>
          <w:szCs w:val="28"/>
          <w:vertAlign w:val="superscript"/>
        </w:rPr>
        <w:t>ème</w:t>
      </w:r>
      <w:r w:rsidRPr="00C000D3">
        <w:rPr>
          <w:rFonts w:ascii="Calibri" w:hAnsi="Calibri" w:cs="Calibri"/>
          <w:sz w:val="20"/>
          <w:szCs w:val="28"/>
        </w:rPr>
        <w:t xml:space="preserve"> trimestre</w:t>
      </w:r>
    </w:p>
    <w:p w:rsidR="00C000D3" w:rsidRPr="000620C9" w:rsidRDefault="00C000D3" w:rsidP="00CF30F8">
      <w:pPr>
        <w:numPr>
          <w:ilvl w:val="0"/>
          <w:numId w:val="7"/>
        </w:numPr>
        <w:spacing w:after="0" w:line="240" w:lineRule="auto"/>
        <w:jc w:val="left"/>
        <w:rPr>
          <w:rFonts w:ascii="Calibri" w:hAnsi="Calibri" w:cs="Calibri"/>
          <w:sz w:val="18"/>
          <w:szCs w:val="28"/>
        </w:rPr>
      </w:pPr>
      <w:r w:rsidRPr="00C000D3">
        <w:rPr>
          <w:rFonts w:ascii="Calibri" w:hAnsi="Calibri" w:cs="Calibri"/>
          <w:sz w:val="20"/>
          <w:szCs w:val="28"/>
        </w:rPr>
        <w:t>Prix d’achat au kg : 40 kg HT. Les fournisseurs sont réglés à raison de 50 % à 30 jours, et 50 % à 60 jours</w:t>
      </w:r>
      <w:r w:rsidRPr="000620C9">
        <w:rPr>
          <w:rFonts w:ascii="Calibri" w:hAnsi="Calibri" w:cs="Calibri"/>
          <w:sz w:val="18"/>
          <w:szCs w:val="28"/>
        </w:rPr>
        <w:t>.</w:t>
      </w:r>
    </w:p>
    <w:p w:rsidR="00C000D3" w:rsidRDefault="00C000D3" w:rsidP="00C000D3">
      <w:pPr>
        <w:rPr>
          <w:rFonts w:ascii="Calibri" w:hAnsi="Calibri" w:cs="Calibri"/>
          <w:b/>
          <w:sz w:val="18"/>
          <w:szCs w:val="28"/>
          <w:u w:val="single"/>
        </w:rPr>
      </w:pPr>
    </w:p>
    <w:p w:rsidR="00C000D3" w:rsidRPr="000620C9" w:rsidRDefault="00C000D3" w:rsidP="00C000D3">
      <w:pPr>
        <w:rPr>
          <w:rFonts w:ascii="Calibri" w:hAnsi="Calibri" w:cs="Calibri"/>
          <w:b/>
          <w:sz w:val="18"/>
          <w:szCs w:val="28"/>
          <w:u w:val="single"/>
        </w:rPr>
      </w:pPr>
      <w:r w:rsidRPr="000620C9">
        <w:rPr>
          <w:rFonts w:ascii="Calibri" w:hAnsi="Calibri" w:cs="Calibri"/>
          <w:b/>
          <w:sz w:val="18"/>
          <w:szCs w:val="28"/>
          <w:u w:val="single"/>
        </w:rPr>
        <w:t>Renseignements concernant la production :</w:t>
      </w:r>
    </w:p>
    <w:p w:rsidR="00C000D3" w:rsidRPr="000620C9" w:rsidRDefault="00C000D3" w:rsidP="00CF30F8">
      <w:pPr>
        <w:numPr>
          <w:ilvl w:val="0"/>
          <w:numId w:val="8"/>
        </w:numPr>
        <w:spacing w:after="0" w:line="240" w:lineRule="auto"/>
        <w:jc w:val="left"/>
        <w:rPr>
          <w:rFonts w:ascii="Calibri" w:hAnsi="Calibri" w:cs="Calibri"/>
          <w:sz w:val="18"/>
          <w:szCs w:val="28"/>
        </w:rPr>
      </w:pPr>
      <w:r w:rsidRPr="000620C9">
        <w:rPr>
          <w:rFonts w:ascii="Calibri" w:hAnsi="Calibri" w:cs="Calibri"/>
          <w:sz w:val="18"/>
          <w:szCs w:val="28"/>
        </w:rPr>
        <w:t>1</w:t>
      </w:r>
      <w:r w:rsidRPr="000620C9">
        <w:rPr>
          <w:rFonts w:ascii="Calibri" w:hAnsi="Calibri" w:cs="Calibri"/>
          <w:sz w:val="18"/>
          <w:szCs w:val="28"/>
          <w:vertAlign w:val="superscript"/>
        </w:rPr>
        <w:t>er</w:t>
      </w:r>
      <w:r w:rsidRPr="000620C9">
        <w:rPr>
          <w:rFonts w:ascii="Calibri" w:hAnsi="Calibri" w:cs="Calibri"/>
          <w:sz w:val="18"/>
          <w:szCs w:val="28"/>
        </w:rPr>
        <w:t xml:space="preserve"> trimestre : 1800 articles par mois ;</w:t>
      </w:r>
    </w:p>
    <w:p w:rsidR="00C000D3" w:rsidRPr="000620C9" w:rsidRDefault="00C000D3" w:rsidP="00CF30F8">
      <w:pPr>
        <w:numPr>
          <w:ilvl w:val="0"/>
          <w:numId w:val="8"/>
        </w:numPr>
        <w:spacing w:after="0" w:line="240" w:lineRule="auto"/>
        <w:jc w:val="left"/>
        <w:rPr>
          <w:rFonts w:ascii="Calibri" w:hAnsi="Calibri" w:cs="Calibri"/>
          <w:sz w:val="18"/>
          <w:szCs w:val="28"/>
        </w:rPr>
      </w:pPr>
      <w:r w:rsidRPr="000620C9">
        <w:rPr>
          <w:rFonts w:ascii="Calibri" w:hAnsi="Calibri" w:cs="Calibri"/>
          <w:sz w:val="18"/>
          <w:szCs w:val="28"/>
        </w:rPr>
        <w:t>2</w:t>
      </w:r>
      <w:r w:rsidRPr="000620C9">
        <w:rPr>
          <w:rFonts w:ascii="Calibri" w:hAnsi="Calibri" w:cs="Calibri"/>
          <w:sz w:val="18"/>
          <w:szCs w:val="28"/>
          <w:vertAlign w:val="superscript"/>
        </w:rPr>
        <w:t>ème</w:t>
      </w:r>
      <w:r w:rsidRPr="000620C9">
        <w:rPr>
          <w:rFonts w:ascii="Calibri" w:hAnsi="Calibri" w:cs="Calibri"/>
          <w:sz w:val="18"/>
          <w:szCs w:val="28"/>
        </w:rPr>
        <w:t xml:space="preserve"> trimestre : 2500 articles par mois ;</w:t>
      </w:r>
    </w:p>
    <w:p w:rsidR="00C000D3" w:rsidRPr="000620C9" w:rsidRDefault="00C000D3" w:rsidP="00CF30F8">
      <w:pPr>
        <w:numPr>
          <w:ilvl w:val="0"/>
          <w:numId w:val="8"/>
        </w:numPr>
        <w:spacing w:after="0" w:line="240" w:lineRule="auto"/>
        <w:jc w:val="left"/>
        <w:rPr>
          <w:rFonts w:ascii="Calibri" w:hAnsi="Calibri" w:cs="Calibri"/>
          <w:sz w:val="18"/>
          <w:szCs w:val="28"/>
        </w:rPr>
      </w:pPr>
      <w:r w:rsidRPr="000620C9">
        <w:rPr>
          <w:rFonts w:ascii="Calibri" w:hAnsi="Calibri" w:cs="Calibri"/>
          <w:sz w:val="18"/>
          <w:szCs w:val="28"/>
        </w:rPr>
        <w:t>Le coût de production d’un article se décompose de la façon suivante :</w:t>
      </w:r>
    </w:p>
    <w:p w:rsidR="00C000D3" w:rsidRPr="000620C9" w:rsidRDefault="00C000D3" w:rsidP="00CF30F8">
      <w:pPr>
        <w:numPr>
          <w:ilvl w:val="0"/>
          <w:numId w:val="9"/>
        </w:numPr>
        <w:spacing w:after="0" w:line="240" w:lineRule="auto"/>
        <w:jc w:val="left"/>
        <w:rPr>
          <w:rFonts w:ascii="Calibri" w:hAnsi="Calibri" w:cs="Calibri"/>
          <w:sz w:val="18"/>
          <w:szCs w:val="28"/>
        </w:rPr>
      </w:pPr>
      <w:r w:rsidRPr="000620C9">
        <w:rPr>
          <w:rFonts w:ascii="Calibri" w:hAnsi="Calibri" w:cs="Calibri"/>
          <w:sz w:val="18"/>
          <w:szCs w:val="28"/>
        </w:rPr>
        <w:t>MP = 5 kg</w:t>
      </w:r>
    </w:p>
    <w:p w:rsidR="00C000D3" w:rsidRPr="000620C9" w:rsidRDefault="00C000D3" w:rsidP="00CF30F8">
      <w:pPr>
        <w:numPr>
          <w:ilvl w:val="0"/>
          <w:numId w:val="9"/>
        </w:numPr>
        <w:spacing w:after="0" w:line="240" w:lineRule="auto"/>
        <w:jc w:val="left"/>
        <w:rPr>
          <w:rFonts w:ascii="Calibri" w:hAnsi="Calibri" w:cs="Calibri"/>
          <w:sz w:val="18"/>
          <w:szCs w:val="28"/>
        </w:rPr>
      </w:pPr>
      <w:r w:rsidRPr="000620C9">
        <w:rPr>
          <w:rFonts w:ascii="Calibri" w:hAnsi="Calibri" w:cs="Calibri"/>
          <w:sz w:val="18"/>
          <w:szCs w:val="28"/>
        </w:rPr>
        <w:t>Frais variables de fabrication : 100 € HT dont le règlement s’effectue le mois même</w:t>
      </w:r>
    </w:p>
    <w:p w:rsidR="00C000D3" w:rsidRPr="000620C9" w:rsidRDefault="00C000D3" w:rsidP="00CF30F8">
      <w:pPr>
        <w:numPr>
          <w:ilvl w:val="0"/>
          <w:numId w:val="9"/>
        </w:numPr>
        <w:spacing w:after="0" w:line="240" w:lineRule="auto"/>
        <w:jc w:val="left"/>
        <w:rPr>
          <w:rFonts w:ascii="Calibri" w:hAnsi="Calibri" w:cs="Calibri"/>
          <w:sz w:val="18"/>
          <w:szCs w:val="28"/>
        </w:rPr>
      </w:pPr>
      <w:r w:rsidRPr="000620C9">
        <w:rPr>
          <w:rFonts w:ascii="Calibri" w:hAnsi="Calibri" w:cs="Calibri"/>
          <w:sz w:val="18"/>
          <w:szCs w:val="28"/>
        </w:rPr>
        <w:t>Frais fixes de fabrication : ils sont estimés à 516 000 € pour le semestre et comprennent 50 % d’amortissements. Les frais décaissés régulièrement sur le semestre, ne sont pas soumis à TVA</w:t>
      </w:r>
    </w:p>
    <w:p w:rsidR="00C000D3" w:rsidRPr="000620C9" w:rsidRDefault="00C000D3" w:rsidP="00C000D3">
      <w:pPr>
        <w:rPr>
          <w:rFonts w:ascii="Calibri" w:hAnsi="Calibri" w:cs="Calibri"/>
          <w:b/>
          <w:sz w:val="18"/>
          <w:szCs w:val="28"/>
          <w:u w:val="single"/>
        </w:rPr>
      </w:pPr>
      <w:r w:rsidRPr="000620C9">
        <w:rPr>
          <w:rFonts w:ascii="Calibri" w:hAnsi="Calibri" w:cs="Calibri"/>
          <w:b/>
          <w:sz w:val="18"/>
          <w:szCs w:val="28"/>
          <w:u w:val="single"/>
        </w:rPr>
        <w:t>Autres renseignements :</w:t>
      </w:r>
    </w:p>
    <w:p w:rsidR="00C000D3" w:rsidRPr="000620C9" w:rsidRDefault="00C000D3" w:rsidP="00CF30F8">
      <w:pPr>
        <w:numPr>
          <w:ilvl w:val="0"/>
          <w:numId w:val="10"/>
        </w:numPr>
        <w:spacing w:after="0" w:line="240" w:lineRule="auto"/>
        <w:jc w:val="left"/>
        <w:rPr>
          <w:rFonts w:ascii="Calibri" w:hAnsi="Calibri" w:cs="Calibri"/>
          <w:sz w:val="18"/>
          <w:szCs w:val="28"/>
        </w:rPr>
      </w:pPr>
      <w:r w:rsidRPr="000620C9">
        <w:rPr>
          <w:rFonts w:ascii="Calibri" w:hAnsi="Calibri" w:cs="Calibri"/>
          <w:sz w:val="18"/>
          <w:szCs w:val="28"/>
        </w:rPr>
        <w:t>Les frais administratifs non soumis à TVA s’élèvent à 60 000 € par mois et sont réglés pour les 2/3 le mois même et pour 1/3 le mois suivant ;</w:t>
      </w:r>
    </w:p>
    <w:p w:rsidR="00C000D3" w:rsidRPr="000620C9" w:rsidRDefault="00C000D3" w:rsidP="00CF30F8">
      <w:pPr>
        <w:numPr>
          <w:ilvl w:val="0"/>
          <w:numId w:val="10"/>
        </w:numPr>
        <w:spacing w:after="0" w:line="240" w:lineRule="auto"/>
        <w:jc w:val="left"/>
        <w:rPr>
          <w:rFonts w:ascii="Calibri" w:hAnsi="Calibri" w:cs="Calibri"/>
          <w:sz w:val="18"/>
          <w:szCs w:val="28"/>
        </w:rPr>
      </w:pPr>
      <w:r w:rsidRPr="000620C9">
        <w:rPr>
          <w:rFonts w:ascii="Calibri" w:hAnsi="Calibri" w:cs="Calibri"/>
          <w:sz w:val="18"/>
          <w:szCs w:val="28"/>
        </w:rPr>
        <w:t>Les représentants perçoivent une commission décaissée le mois suivant, de 5 % du montant des ventes HT ;</w:t>
      </w:r>
    </w:p>
    <w:p w:rsidR="00C000D3" w:rsidRPr="000620C9" w:rsidRDefault="00C000D3" w:rsidP="00CF30F8">
      <w:pPr>
        <w:numPr>
          <w:ilvl w:val="0"/>
          <w:numId w:val="10"/>
        </w:numPr>
        <w:spacing w:after="0" w:line="240" w:lineRule="auto"/>
        <w:jc w:val="left"/>
        <w:rPr>
          <w:rFonts w:ascii="Calibri" w:hAnsi="Calibri" w:cs="Calibri"/>
          <w:sz w:val="18"/>
          <w:szCs w:val="28"/>
        </w:rPr>
      </w:pPr>
      <w:r w:rsidRPr="000620C9">
        <w:rPr>
          <w:rFonts w:ascii="Calibri" w:hAnsi="Calibri" w:cs="Calibri"/>
          <w:sz w:val="18"/>
          <w:szCs w:val="28"/>
        </w:rPr>
        <w:t xml:space="preserve">Les deux premiers acomptes d’impôt sur les sociétés versés aux dates limites s’élèvent respectivement à 50 000 € et 70 000 €. </w:t>
      </w:r>
    </w:p>
    <w:p w:rsidR="003A6AC8" w:rsidRPr="003A6AC8" w:rsidRDefault="003A6AC8" w:rsidP="003A6AC8">
      <w:pPr>
        <w:pStyle w:val="style1"/>
        <w:spacing w:before="0" w:beforeAutospacing="0" w:after="0" w:afterAutospacing="0"/>
        <w:jc w:val="center"/>
        <w:rPr>
          <w:rFonts w:asciiTheme="minorHAnsi" w:hAnsiTheme="minorHAnsi"/>
          <w:b/>
          <w:sz w:val="28"/>
          <w:u w:val="single"/>
        </w:rPr>
      </w:pPr>
    </w:p>
    <w:sectPr w:rsidR="003A6AC8" w:rsidRPr="003A6AC8" w:rsidSect="000F3E5C">
      <w:headerReference w:type="default"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F8" w:rsidRDefault="00CF30F8" w:rsidP="00F76EA1">
      <w:pPr>
        <w:spacing w:after="0" w:line="240" w:lineRule="auto"/>
      </w:pPr>
      <w:r>
        <w:separator/>
      </w:r>
    </w:p>
  </w:endnote>
  <w:endnote w:type="continuationSeparator" w:id="0">
    <w:p w:rsidR="00CF30F8" w:rsidRDefault="00CF30F8"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EndPr/>
    <w:sdtContent>
      <w:p w:rsidR="00FC1CF7" w:rsidRDefault="00FC1CF7">
        <w:pPr>
          <w:pStyle w:val="Pieddepage"/>
          <w:jc w:val="center"/>
        </w:pPr>
        <w:r>
          <w:rPr>
            <w:noProof/>
            <w:lang w:eastAsia="fr-FR"/>
          </w:rPr>
          <w:drawing>
            <wp:inline distT="0" distB="0" distL="0" distR="0" wp14:anchorId="1F245E9A" wp14:editId="514DEB06">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p w:rsidR="00FC1CF7" w:rsidRDefault="00FC1CF7">
        <w:pPr>
          <w:pStyle w:val="Pieddepage"/>
          <w:jc w:val="center"/>
        </w:pPr>
        <w:r>
          <w:fldChar w:fldCharType="begin"/>
        </w:r>
        <w:r>
          <w:instrText>PAGE   \* MERGEFORMAT</w:instrText>
        </w:r>
        <w:r>
          <w:fldChar w:fldCharType="separate"/>
        </w:r>
        <w:r w:rsidR="00C000D3">
          <w:rPr>
            <w:noProof/>
          </w:rPr>
          <w:t>- 3 -</w:t>
        </w:r>
        <w:r>
          <w:fldChar w:fldCharType="end"/>
        </w:r>
      </w:p>
    </w:sdtContent>
  </w:sdt>
  <w:p w:rsidR="00FC1CF7" w:rsidRDefault="00FC1CF7" w:rsidP="00B06438">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F8" w:rsidRDefault="00CF30F8" w:rsidP="00F76EA1">
      <w:pPr>
        <w:spacing w:after="0" w:line="240" w:lineRule="auto"/>
      </w:pPr>
      <w:r>
        <w:separator/>
      </w:r>
    </w:p>
  </w:footnote>
  <w:footnote w:type="continuationSeparator" w:id="0">
    <w:p w:rsidR="00CF30F8" w:rsidRDefault="00CF30F8"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F7" w:rsidRDefault="00FC1CF7" w:rsidP="00D53FB8">
    <w:pPr>
      <w:pStyle w:val="En-tte"/>
      <w:jc w:val="center"/>
    </w:pPr>
    <w:r>
      <w:rPr>
        <w:noProof/>
        <w:lang w:eastAsia="fr-FR"/>
      </w:rPr>
      <w:drawing>
        <wp:inline distT="0" distB="0" distL="0" distR="0" wp14:anchorId="095A4ECA" wp14:editId="688D4C29">
          <wp:extent cx="2121763" cy="319405"/>
          <wp:effectExtent l="0" t="0" r="0" b="4445"/>
          <wp:docPr id="4" name="Image 4"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2153216" cy="324140"/>
                  </a:xfrm>
                  <a:prstGeom prst="rect">
                    <a:avLst/>
                  </a:prstGeom>
                  <a:noFill/>
                  <a:ln w="9525">
                    <a:noFill/>
                    <a:miter lim="800000"/>
                    <a:headEnd/>
                    <a:tailEnd/>
                  </a:ln>
                </pic:spPr>
              </pic:pic>
            </a:graphicData>
          </a:graphic>
        </wp:inline>
      </w:drawing>
    </w:r>
  </w:p>
  <w:p w:rsidR="00FC1CF7" w:rsidRDefault="001615AF" w:rsidP="00D53FB8">
    <w:pPr>
      <w:pStyle w:val="En-tte"/>
      <w:jc w:val="center"/>
      <w:rPr>
        <w:b/>
        <w:color w:val="2F5496" w:themeColor="accent5" w:themeShade="BF"/>
        <w:sz w:val="32"/>
      </w:rPr>
    </w:pPr>
    <w:r>
      <w:rPr>
        <w:b/>
        <w:color w:val="2F5496" w:themeColor="accent5" w:themeShade="BF"/>
        <w:sz w:val="32"/>
      </w:rPr>
      <w:t>ACG65</w:t>
    </w:r>
    <w:r w:rsidR="00FC1CF7" w:rsidRPr="00091DA9">
      <w:rPr>
        <w:b/>
        <w:color w:val="2F5496" w:themeColor="accent5" w:themeShade="BF"/>
        <w:sz w:val="32"/>
      </w:rPr>
      <w:t xml:space="preserve">0 – </w:t>
    </w:r>
    <w:r>
      <w:rPr>
        <w:b/>
        <w:color w:val="2F5496" w:themeColor="accent5" w:themeShade="BF"/>
        <w:sz w:val="32"/>
      </w:rPr>
      <w:t>La gestion budgétaire approfondie</w:t>
    </w:r>
  </w:p>
  <w:p w:rsidR="00C000D3" w:rsidRPr="00091DA9" w:rsidRDefault="00C000D3" w:rsidP="00D53FB8">
    <w:pPr>
      <w:pStyle w:val="En-tte"/>
      <w:jc w:val="center"/>
      <w:rPr>
        <w:b/>
        <w:color w:val="2F5496" w:themeColor="accent5" w:themeShade="BF"/>
        <w:sz w:val="32"/>
      </w:rPr>
    </w:pPr>
    <w:r>
      <w:rPr>
        <w:b/>
        <w:color w:val="2F5496" w:themeColor="accent5" w:themeShade="BF"/>
        <w:sz w:val="32"/>
      </w:rPr>
      <w:t>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26A"/>
    <w:multiLevelType w:val="hybridMultilevel"/>
    <w:tmpl w:val="4328AB0E"/>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 w15:restartNumberingAfterBreak="0">
    <w:nsid w:val="1F64051F"/>
    <w:multiLevelType w:val="hybridMultilevel"/>
    <w:tmpl w:val="2B085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04742D"/>
    <w:multiLevelType w:val="hybridMultilevel"/>
    <w:tmpl w:val="878EE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205F2C"/>
    <w:multiLevelType w:val="hybridMultilevel"/>
    <w:tmpl w:val="A9E8D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B0648A"/>
    <w:multiLevelType w:val="hybridMultilevel"/>
    <w:tmpl w:val="B2E6A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63CF3"/>
    <w:multiLevelType w:val="hybridMultilevel"/>
    <w:tmpl w:val="DD26A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811F2B"/>
    <w:multiLevelType w:val="hybridMultilevel"/>
    <w:tmpl w:val="D3060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1C1132"/>
    <w:multiLevelType w:val="hybridMultilevel"/>
    <w:tmpl w:val="CEA08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CA01E5"/>
    <w:multiLevelType w:val="hybridMultilevel"/>
    <w:tmpl w:val="4BDC9F9E"/>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9" w15:restartNumberingAfterBreak="0">
    <w:nsid w:val="7CCE4068"/>
    <w:multiLevelType w:val="hybridMultilevel"/>
    <w:tmpl w:val="318E9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C4425"/>
    <w:multiLevelType w:val="hybridMultilevel"/>
    <w:tmpl w:val="11C06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0"/>
  </w:num>
  <w:num w:numId="6">
    <w:abstractNumId w:val="8"/>
  </w:num>
  <w:num w:numId="7">
    <w:abstractNumId w:val="4"/>
  </w:num>
  <w:num w:numId="8">
    <w:abstractNumId w:val="1"/>
  </w:num>
  <w:num w:numId="9">
    <w:abstractNumId w:val="0"/>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135"/>
    <w:rsid w:val="000002EC"/>
    <w:rsid w:val="00010568"/>
    <w:rsid w:val="00015B8D"/>
    <w:rsid w:val="00021B4A"/>
    <w:rsid w:val="00040A5B"/>
    <w:rsid w:val="0004244C"/>
    <w:rsid w:val="00053633"/>
    <w:rsid w:val="00054782"/>
    <w:rsid w:val="00066266"/>
    <w:rsid w:val="0009171D"/>
    <w:rsid w:val="00091DA9"/>
    <w:rsid w:val="000A160C"/>
    <w:rsid w:val="000A19D3"/>
    <w:rsid w:val="000A2277"/>
    <w:rsid w:val="000B3482"/>
    <w:rsid w:val="000B4D2D"/>
    <w:rsid w:val="000C4576"/>
    <w:rsid w:val="000C6D8D"/>
    <w:rsid w:val="000E4663"/>
    <w:rsid w:val="000F3E5C"/>
    <w:rsid w:val="000F466D"/>
    <w:rsid w:val="000F6482"/>
    <w:rsid w:val="000F764E"/>
    <w:rsid w:val="00116539"/>
    <w:rsid w:val="001333BE"/>
    <w:rsid w:val="00133D70"/>
    <w:rsid w:val="00144576"/>
    <w:rsid w:val="00145005"/>
    <w:rsid w:val="0015797E"/>
    <w:rsid w:val="001615AF"/>
    <w:rsid w:val="001677E8"/>
    <w:rsid w:val="00170236"/>
    <w:rsid w:val="00182DE5"/>
    <w:rsid w:val="00187E7C"/>
    <w:rsid w:val="00192A19"/>
    <w:rsid w:val="00195353"/>
    <w:rsid w:val="001A5111"/>
    <w:rsid w:val="001A6209"/>
    <w:rsid w:val="001A7B59"/>
    <w:rsid w:val="001C0BFD"/>
    <w:rsid w:val="001E17C7"/>
    <w:rsid w:val="001F5060"/>
    <w:rsid w:val="002003C8"/>
    <w:rsid w:val="002032BC"/>
    <w:rsid w:val="00241846"/>
    <w:rsid w:val="00242AB1"/>
    <w:rsid w:val="00255269"/>
    <w:rsid w:val="00260589"/>
    <w:rsid w:val="002B42EC"/>
    <w:rsid w:val="002B6506"/>
    <w:rsid w:val="002C13A0"/>
    <w:rsid w:val="002C395C"/>
    <w:rsid w:val="002C68A0"/>
    <w:rsid w:val="002D47E3"/>
    <w:rsid w:val="002E7DD3"/>
    <w:rsid w:val="002F6746"/>
    <w:rsid w:val="002F72E2"/>
    <w:rsid w:val="0030461C"/>
    <w:rsid w:val="00304781"/>
    <w:rsid w:val="00306CF1"/>
    <w:rsid w:val="003202DF"/>
    <w:rsid w:val="00322F53"/>
    <w:rsid w:val="003476A9"/>
    <w:rsid w:val="003476C4"/>
    <w:rsid w:val="00352B1F"/>
    <w:rsid w:val="0035408C"/>
    <w:rsid w:val="00363C04"/>
    <w:rsid w:val="003656F5"/>
    <w:rsid w:val="003670CA"/>
    <w:rsid w:val="00371BA4"/>
    <w:rsid w:val="0039481C"/>
    <w:rsid w:val="003A6AC8"/>
    <w:rsid w:val="003B2064"/>
    <w:rsid w:val="003C7ABA"/>
    <w:rsid w:val="003D2BE7"/>
    <w:rsid w:val="003D2EA8"/>
    <w:rsid w:val="003E1660"/>
    <w:rsid w:val="003E6014"/>
    <w:rsid w:val="003E7EDC"/>
    <w:rsid w:val="00402C62"/>
    <w:rsid w:val="004127FB"/>
    <w:rsid w:val="004135D5"/>
    <w:rsid w:val="004230BF"/>
    <w:rsid w:val="00425341"/>
    <w:rsid w:val="00427E57"/>
    <w:rsid w:val="00434218"/>
    <w:rsid w:val="00443E3A"/>
    <w:rsid w:val="00455D8D"/>
    <w:rsid w:val="004571A5"/>
    <w:rsid w:val="00464921"/>
    <w:rsid w:val="004716BE"/>
    <w:rsid w:val="00475D83"/>
    <w:rsid w:val="00477E2D"/>
    <w:rsid w:val="00485D5D"/>
    <w:rsid w:val="00487CC9"/>
    <w:rsid w:val="00492850"/>
    <w:rsid w:val="00496AC0"/>
    <w:rsid w:val="004E2578"/>
    <w:rsid w:val="004E2A2A"/>
    <w:rsid w:val="004F4FDB"/>
    <w:rsid w:val="004F53A4"/>
    <w:rsid w:val="004F74A7"/>
    <w:rsid w:val="005003A2"/>
    <w:rsid w:val="005004BC"/>
    <w:rsid w:val="00515E03"/>
    <w:rsid w:val="00524C89"/>
    <w:rsid w:val="00536290"/>
    <w:rsid w:val="00562905"/>
    <w:rsid w:val="00567333"/>
    <w:rsid w:val="00582D96"/>
    <w:rsid w:val="005849E5"/>
    <w:rsid w:val="00585276"/>
    <w:rsid w:val="005A731A"/>
    <w:rsid w:val="005B6F7F"/>
    <w:rsid w:val="005C2324"/>
    <w:rsid w:val="005D25D7"/>
    <w:rsid w:val="005D5D9D"/>
    <w:rsid w:val="005F2F15"/>
    <w:rsid w:val="00602168"/>
    <w:rsid w:val="00602B80"/>
    <w:rsid w:val="0061322B"/>
    <w:rsid w:val="00613DF5"/>
    <w:rsid w:val="00621486"/>
    <w:rsid w:val="00625230"/>
    <w:rsid w:val="0063095B"/>
    <w:rsid w:val="0063287C"/>
    <w:rsid w:val="00642613"/>
    <w:rsid w:val="006569A0"/>
    <w:rsid w:val="0067757B"/>
    <w:rsid w:val="00681BE2"/>
    <w:rsid w:val="00685EE3"/>
    <w:rsid w:val="006966B2"/>
    <w:rsid w:val="00696859"/>
    <w:rsid w:val="006A05B6"/>
    <w:rsid w:val="006A61DD"/>
    <w:rsid w:val="006A6576"/>
    <w:rsid w:val="006B664F"/>
    <w:rsid w:val="006C0D3C"/>
    <w:rsid w:val="006C1FC3"/>
    <w:rsid w:val="006C39EF"/>
    <w:rsid w:val="006D410B"/>
    <w:rsid w:val="006D6C9C"/>
    <w:rsid w:val="006E61B4"/>
    <w:rsid w:val="00734D19"/>
    <w:rsid w:val="00743B66"/>
    <w:rsid w:val="0074693D"/>
    <w:rsid w:val="00750633"/>
    <w:rsid w:val="00753EDB"/>
    <w:rsid w:val="0078093D"/>
    <w:rsid w:val="00780B24"/>
    <w:rsid w:val="007A78D5"/>
    <w:rsid w:val="007B289A"/>
    <w:rsid w:val="007B31C7"/>
    <w:rsid w:val="007B43EC"/>
    <w:rsid w:val="007B6D4D"/>
    <w:rsid w:val="007D45A2"/>
    <w:rsid w:val="007D4846"/>
    <w:rsid w:val="007E0308"/>
    <w:rsid w:val="007F18BF"/>
    <w:rsid w:val="007F4B66"/>
    <w:rsid w:val="007F4D68"/>
    <w:rsid w:val="00800E43"/>
    <w:rsid w:val="00801E9D"/>
    <w:rsid w:val="00802A9A"/>
    <w:rsid w:val="00806825"/>
    <w:rsid w:val="0082156F"/>
    <w:rsid w:val="008252B2"/>
    <w:rsid w:val="00825384"/>
    <w:rsid w:val="00825EFF"/>
    <w:rsid w:val="00843AF2"/>
    <w:rsid w:val="008526C4"/>
    <w:rsid w:val="00861233"/>
    <w:rsid w:val="00863C2A"/>
    <w:rsid w:val="008656C6"/>
    <w:rsid w:val="0089475A"/>
    <w:rsid w:val="00894F36"/>
    <w:rsid w:val="00896226"/>
    <w:rsid w:val="008C08A3"/>
    <w:rsid w:val="008D30CC"/>
    <w:rsid w:val="008D36EB"/>
    <w:rsid w:val="008D3CAF"/>
    <w:rsid w:val="008D5984"/>
    <w:rsid w:val="008E43D0"/>
    <w:rsid w:val="008E5A03"/>
    <w:rsid w:val="008F5925"/>
    <w:rsid w:val="00905752"/>
    <w:rsid w:val="00905B39"/>
    <w:rsid w:val="00906B72"/>
    <w:rsid w:val="009243A3"/>
    <w:rsid w:val="00933D6F"/>
    <w:rsid w:val="00951540"/>
    <w:rsid w:val="00954B15"/>
    <w:rsid w:val="00961008"/>
    <w:rsid w:val="00961889"/>
    <w:rsid w:val="0097580B"/>
    <w:rsid w:val="00975FA7"/>
    <w:rsid w:val="009772E7"/>
    <w:rsid w:val="0098689B"/>
    <w:rsid w:val="00993585"/>
    <w:rsid w:val="00994B3E"/>
    <w:rsid w:val="009A25BC"/>
    <w:rsid w:val="009A5289"/>
    <w:rsid w:val="009B04FB"/>
    <w:rsid w:val="009C1420"/>
    <w:rsid w:val="009C5FCA"/>
    <w:rsid w:val="009D28A4"/>
    <w:rsid w:val="009D6FAA"/>
    <w:rsid w:val="009E2F8D"/>
    <w:rsid w:val="009E5194"/>
    <w:rsid w:val="009F0C8F"/>
    <w:rsid w:val="00A02996"/>
    <w:rsid w:val="00A03D69"/>
    <w:rsid w:val="00A12F16"/>
    <w:rsid w:val="00A14053"/>
    <w:rsid w:val="00A14ACC"/>
    <w:rsid w:val="00A203E0"/>
    <w:rsid w:val="00A225E4"/>
    <w:rsid w:val="00A4408A"/>
    <w:rsid w:val="00A56120"/>
    <w:rsid w:val="00A72560"/>
    <w:rsid w:val="00A81670"/>
    <w:rsid w:val="00A831AF"/>
    <w:rsid w:val="00A8410A"/>
    <w:rsid w:val="00A961B5"/>
    <w:rsid w:val="00A97754"/>
    <w:rsid w:val="00AA0D87"/>
    <w:rsid w:val="00AA5A25"/>
    <w:rsid w:val="00AA5FC5"/>
    <w:rsid w:val="00AB5726"/>
    <w:rsid w:val="00AC3CD3"/>
    <w:rsid w:val="00AD7768"/>
    <w:rsid w:val="00AE308F"/>
    <w:rsid w:val="00AE622A"/>
    <w:rsid w:val="00AE7043"/>
    <w:rsid w:val="00B06438"/>
    <w:rsid w:val="00B22749"/>
    <w:rsid w:val="00B271C0"/>
    <w:rsid w:val="00B362B6"/>
    <w:rsid w:val="00B41869"/>
    <w:rsid w:val="00B44CAB"/>
    <w:rsid w:val="00B621EA"/>
    <w:rsid w:val="00B73170"/>
    <w:rsid w:val="00B74B2B"/>
    <w:rsid w:val="00B82AC5"/>
    <w:rsid w:val="00B83E25"/>
    <w:rsid w:val="00B91703"/>
    <w:rsid w:val="00B94A04"/>
    <w:rsid w:val="00BA1463"/>
    <w:rsid w:val="00BB1FBE"/>
    <w:rsid w:val="00BB3585"/>
    <w:rsid w:val="00BC1211"/>
    <w:rsid w:val="00BC2323"/>
    <w:rsid w:val="00BC47AF"/>
    <w:rsid w:val="00BC7397"/>
    <w:rsid w:val="00BC764E"/>
    <w:rsid w:val="00BD1D06"/>
    <w:rsid w:val="00BD4B41"/>
    <w:rsid w:val="00BE06A0"/>
    <w:rsid w:val="00BE4D16"/>
    <w:rsid w:val="00BE63D9"/>
    <w:rsid w:val="00BE6869"/>
    <w:rsid w:val="00BF2248"/>
    <w:rsid w:val="00C000D3"/>
    <w:rsid w:val="00C00212"/>
    <w:rsid w:val="00C0055C"/>
    <w:rsid w:val="00C0684C"/>
    <w:rsid w:val="00C114F9"/>
    <w:rsid w:val="00C157F4"/>
    <w:rsid w:val="00C224B9"/>
    <w:rsid w:val="00C307B4"/>
    <w:rsid w:val="00C3665C"/>
    <w:rsid w:val="00C448EF"/>
    <w:rsid w:val="00C472CD"/>
    <w:rsid w:val="00C47B79"/>
    <w:rsid w:val="00C5085D"/>
    <w:rsid w:val="00C56971"/>
    <w:rsid w:val="00C56AF4"/>
    <w:rsid w:val="00C725C0"/>
    <w:rsid w:val="00C851F1"/>
    <w:rsid w:val="00C86087"/>
    <w:rsid w:val="00C91010"/>
    <w:rsid w:val="00C936CF"/>
    <w:rsid w:val="00C957EC"/>
    <w:rsid w:val="00CA26C3"/>
    <w:rsid w:val="00CD604A"/>
    <w:rsid w:val="00CF30F8"/>
    <w:rsid w:val="00D12BF9"/>
    <w:rsid w:val="00D17F51"/>
    <w:rsid w:val="00D35A51"/>
    <w:rsid w:val="00D42ECE"/>
    <w:rsid w:val="00D470C2"/>
    <w:rsid w:val="00D508B9"/>
    <w:rsid w:val="00D53FB8"/>
    <w:rsid w:val="00D62F3B"/>
    <w:rsid w:val="00D81878"/>
    <w:rsid w:val="00D82EAB"/>
    <w:rsid w:val="00D9003E"/>
    <w:rsid w:val="00DA150A"/>
    <w:rsid w:val="00DA34A1"/>
    <w:rsid w:val="00DC4480"/>
    <w:rsid w:val="00DC480A"/>
    <w:rsid w:val="00DC7017"/>
    <w:rsid w:val="00DD2A8E"/>
    <w:rsid w:val="00DD7460"/>
    <w:rsid w:val="00DE27B0"/>
    <w:rsid w:val="00DE56D3"/>
    <w:rsid w:val="00DF1DB3"/>
    <w:rsid w:val="00DF61C1"/>
    <w:rsid w:val="00E045C1"/>
    <w:rsid w:val="00E113E6"/>
    <w:rsid w:val="00E33BE9"/>
    <w:rsid w:val="00E41916"/>
    <w:rsid w:val="00E430E3"/>
    <w:rsid w:val="00E51E85"/>
    <w:rsid w:val="00E52A4B"/>
    <w:rsid w:val="00E539C5"/>
    <w:rsid w:val="00E64C36"/>
    <w:rsid w:val="00E7068F"/>
    <w:rsid w:val="00E71713"/>
    <w:rsid w:val="00E812E0"/>
    <w:rsid w:val="00E96E0E"/>
    <w:rsid w:val="00EB1A23"/>
    <w:rsid w:val="00EC29D0"/>
    <w:rsid w:val="00EC5231"/>
    <w:rsid w:val="00ED2068"/>
    <w:rsid w:val="00EE6533"/>
    <w:rsid w:val="00EE725A"/>
    <w:rsid w:val="00EE741D"/>
    <w:rsid w:val="00EF24CB"/>
    <w:rsid w:val="00EF58EA"/>
    <w:rsid w:val="00F06F05"/>
    <w:rsid w:val="00F12626"/>
    <w:rsid w:val="00F148D8"/>
    <w:rsid w:val="00F17E8C"/>
    <w:rsid w:val="00F23946"/>
    <w:rsid w:val="00F32206"/>
    <w:rsid w:val="00F56DCD"/>
    <w:rsid w:val="00F61101"/>
    <w:rsid w:val="00F61DEE"/>
    <w:rsid w:val="00F735C3"/>
    <w:rsid w:val="00F76EA1"/>
    <w:rsid w:val="00F82C92"/>
    <w:rsid w:val="00F82F29"/>
    <w:rsid w:val="00FA3D92"/>
    <w:rsid w:val="00FA5510"/>
    <w:rsid w:val="00FB3DA3"/>
    <w:rsid w:val="00FB5205"/>
    <w:rsid w:val="00FC0D5B"/>
    <w:rsid w:val="00FC1B12"/>
    <w:rsid w:val="00FC1CF7"/>
    <w:rsid w:val="00FC782D"/>
    <w:rsid w:val="00FD71A5"/>
    <w:rsid w:val="00FE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4F56B-D1FB-49B6-8A66-8B12BB9E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2F72E2"/>
    <w:pPr>
      <w:keepNext/>
      <w:spacing w:before="240" w:after="60" w:line="240" w:lineRule="auto"/>
      <w:jc w:val="left"/>
      <w:outlineLvl w:val="1"/>
    </w:pPr>
    <w:rPr>
      <w:rFonts w:ascii="Arial" w:eastAsia="Times New Roman" w:hAnsi="Arial" w:cs="Arial"/>
      <w:b/>
      <w:bCs/>
      <w:i/>
      <w:iCs/>
      <w:sz w:val="28"/>
      <w:szCs w:val="28"/>
      <w:lang w:eastAsia="fr-FR"/>
    </w:rPr>
  </w:style>
  <w:style w:type="paragraph" w:styleId="Titre3">
    <w:name w:val="heading 3"/>
    <w:basedOn w:val="Normal"/>
    <w:link w:val="Titre3Car"/>
    <w:qFormat/>
    <w:rsid w:val="000B4D2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qFormat/>
    <w:rsid w:val="002F72E2"/>
    <w:pPr>
      <w:spacing w:before="240" w:after="60" w:line="240" w:lineRule="auto"/>
      <w:jc w:val="left"/>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3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1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008"/>
    <w:rPr>
      <w:rFonts w:ascii="Segoe UI" w:hAnsi="Segoe UI" w:cs="Segoe UI"/>
      <w:sz w:val="18"/>
      <w:szCs w:val="18"/>
    </w:rPr>
  </w:style>
  <w:style w:type="character" w:customStyle="1" w:styleId="Titre3Car">
    <w:name w:val="Titre 3 Car"/>
    <w:basedOn w:val="Policepardfaut"/>
    <w:link w:val="Titre3"/>
    <w:rsid w:val="000B4D2D"/>
    <w:rPr>
      <w:rFonts w:ascii="Times New Roman" w:eastAsia="Times New Roman" w:hAnsi="Times New Roman" w:cs="Times New Roman"/>
      <w:b/>
      <w:bCs/>
      <w:sz w:val="27"/>
      <w:szCs w:val="27"/>
      <w:lang w:eastAsia="fr-FR"/>
    </w:rPr>
  </w:style>
  <w:style w:type="paragraph" w:customStyle="1" w:styleId="style1">
    <w:name w:val="style1"/>
    <w:basedOn w:val="Normal"/>
    <w:rsid w:val="000B4D2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rsid w:val="000B4D2D"/>
    <w:rPr>
      <w:color w:val="0000FF"/>
      <w:u w:val="single"/>
    </w:rPr>
  </w:style>
  <w:style w:type="paragraph" w:customStyle="1" w:styleId="titresnoirs2style1">
    <w:name w:val="titresnoirs2 style1"/>
    <w:basedOn w:val="Normal"/>
    <w:rsid w:val="000B4D2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1">
    <w:name w:val="style11"/>
    <w:basedOn w:val="Policepardfaut"/>
    <w:rsid w:val="000B4D2D"/>
  </w:style>
  <w:style w:type="character" w:customStyle="1" w:styleId="titresnoirs2">
    <w:name w:val="titresnoirs2"/>
    <w:basedOn w:val="Policepardfaut"/>
    <w:rsid w:val="000B4D2D"/>
  </w:style>
  <w:style w:type="character" w:customStyle="1" w:styleId="Titre2Car">
    <w:name w:val="Titre 2 Car"/>
    <w:basedOn w:val="Policepardfaut"/>
    <w:link w:val="Titre2"/>
    <w:rsid w:val="002F72E2"/>
    <w:rPr>
      <w:rFonts w:ascii="Arial" w:eastAsia="Times New Roman" w:hAnsi="Arial" w:cs="Arial"/>
      <w:b/>
      <w:bCs/>
      <w:i/>
      <w:iCs/>
      <w:sz w:val="28"/>
      <w:szCs w:val="28"/>
      <w:lang w:eastAsia="fr-FR"/>
    </w:rPr>
  </w:style>
  <w:style w:type="character" w:customStyle="1" w:styleId="Titre5Car">
    <w:name w:val="Titre 5 Car"/>
    <w:basedOn w:val="Policepardfaut"/>
    <w:link w:val="Titre5"/>
    <w:rsid w:val="002F72E2"/>
    <w:rPr>
      <w:rFonts w:ascii="Times New Roman" w:eastAsia="Times New Roman" w:hAnsi="Times New Roman" w:cs="Times New Roman"/>
      <w:b/>
      <w:bCs/>
      <w:i/>
      <w:iCs/>
      <w:sz w:val="26"/>
      <w:szCs w:val="26"/>
      <w:lang w:eastAsia="fr-FR"/>
    </w:rPr>
  </w:style>
  <w:style w:type="paragraph" w:styleId="NormalWeb">
    <w:name w:val="Normal (Web)"/>
    <w:basedOn w:val="Normal"/>
    <w:rsid w:val="002F72E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style1">
    <w:name w:val="style1 style1"/>
    <w:basedOn w:val="Policepardfaut"/>
    <w:rsid w:val="002F72E2"/>
  </w:style>
  <w:style w:type="character" w:styleId="Accentuation">
    <w:name w:val="Emphasis"/>
    <w:qFormat/>
    <w:rsid w:val="002F72E2"/>
    <w:rPr>
      <w:i/>
      <w:iCs/>
    </w:rPr>
  </w:style>
  <w:style w:type="paragraph" w:customStyle="1" w:styleId="style2">
    <w:name w:val="style2"/>
    <w:basedOn w:val="Normal"/>
    <w:rsid w:val="002F72E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E5194"/>
    <w:rPr>
      <w:color w:val="808080"/>
    </w:rPr>
  </w:style>
  <w:style w:type="paragraph" w:styleId="Sansinterligne">
    <w:name w:val="No Spacing"/>
    <w:uiPriority w:val="1"/>
    <w:qFormat/>
    <w:rsid w:val="007B289A"/>
    <w:pPr>
      <w:spacing w:after="0"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094A-3D5E-4819-B12F-FF00E69C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3</Pages>
  <Words>839</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32</cp:revision>
  <cp:lastPrinted>2022-11-25T10:54:00Z</cp:lastPrinted>
  <dcterms:created xsi:type="dcterms:W3CDTF">2014-10-28T07:27:00Z</dcterms:created>
  <dcterms:modified xsi:type="dcterms:W3CDTF">2022-11-25T10:54:00Z</dcterms:modified>
</cp:coreProperties>
</file>